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ascii="黑体" w:hAnsi="黑体" w:eastAsia="黑体" w:cs="黑体"/>
          <w:b/>
          <w:bCs/>
          <w:sz w:val="52"/>
          <w:szCs w:val="52"/>
        </w:rPr>
      </w:pPr>
    </w:p>
    <w:p>
      <w:pPr>
        <w:spacing w:line="360" w:lineRule="auto"/>
        <w:jc w:val="center"/>
        <w:rPr>
          <w:rFonts w:ascii="黑体" w:hAnsi="黑体" w:eastAsia="黑体" w:cs="黑体"/>
          <w:b/>
          <w:bCs/>
          <w:sz w:val="52"/>
          <w:szCs w:val="52"/>
        </w:rPr>
      </w:pPr>
    </w:p>
    <w:p>
      <w:pPr>
        <w:autoSpaceDE w:val="0"/>
        <w:autoSpaceDN w:val="0"/>
        <w:adjustRightInd w:val="0"/>
        <w:spacing w:line="360" w:lineRule="auto"/>
        <w:jc w:val="center"/>
        <w:rPr>
          <w:rFonts w:hint="eastAsia" w:eastAsia="宋体"/>
          <w:b/>
          <w:color w:val="FF0000"/>
          <w:spacing w:val="5"/>
          <w:sz w:val="52"/>
          <w:szCs w:val="56"/>
          <w:lang w:val="en-US" w:eastAsia="zh-CN"/>
        </w:rPr>
      </w:pPr>
      <w:r>
        <w:rPr>
          <w:rFonts w:hint="eastAsia"/>
          <w:b/>
          <w:color w:val="FF0000"/>
          <w:spacing w:val="5"/>
          <w:sz w:val="52"/>
          <w:szCs w:val="56"/>
        </w:rPr>
        <w:t>中国</w:t>
      </w:r>
      <w:r>
        <w:rPr>
          <w:rFonts w:hint="eastAsia"/>
          <w:b/>
          <w:color w:val="FF0000"/>
          <w:spacing w:val="5"/>
          <w:sz w:val="52"/>
          <w:szCs w:val="56"/>
          <w:lang w:eastAsia="zh-CN"/>
        </w:rPr>
        <w:t>石化销售股份有限公司江西南昌红谷滩石油分公司世纪星加油站</w:t>
      </w:r>
    </w:p>
    <w:p>
      <w:pPr>
        <w:autoSpaceDE w:val="0"/>
        <w:autoSpaceDN w:val="0"/>
        <w:adjustRightInd w:val="0"/>
        <w:spacing w:line="360" w:lineRule="auto"/>
        <w:jc w:val="center"/>
        <w:rPr>
          <w:b/>
          <w:spacing w:val="5"/>
          <w:sz w:val="56"/>
          <w:szCs w:val="72"/>
        </w:rPr>
      </w:pPr>
      <w:r>
        <w:rPr>
          <w:rFonts w:hint="eastAsia"/>
          <w:b/>
          <w:spacing w:val="5"/>
          <w:sz w:val="56"/>
          <w:szCs w:val="72"/>
        </w:rPr>
        <w:t>突发环境事件应急预案编制说明</w:t>
      </w:r>
    </w:p>
    <w:p>
      <w:pPr>
        <w:autoSpaceDE w:val="0"/>
        <w:autoSpaceDN w:val="0"/>
        <w:adjustRightInd w:val="0"/>
        <w:spacing w:line="360" w:lineRule="auto"/>
        <w:jc w:val="center"/>
        <w:rPr>
          <w:b/>
          <w:spacing w:val="5"/>
          <w:sz w:val="56"/>
          <w:szCs w:val="72"/>
        </w:rPr>
      </w:pPr>
      <w:r>
        <w:rPr>
          <w:rFonts w:hint="eastAsia"/>
          <w:b/>
          <w:spacing w:val="5"/>
          <w:sz w:val="56"/>
          <w:szCs w:val="72"/>
        </w:rPr>
        <w:t>（</w:t>
      </w:r>
      <w:r>
        <w:rPr>
          <w:b/>
          <w:spacing w:val="5"/>
          <w:sz w:val="56"/>
          <w:szCs w:val="72"/>
        </w:rPr>
        <w:t>201</w:t>
      </w:r>
      <w:r>
        <w:rPr>
          <w:rFonts w:hint="eastAsia"/>
          <w:b/>
          <w:spacing w:val="5"/>
          <w:sz w:val="56"/>
          <w:szCs w:val="72"/>
        </w:rPr>
        <w:t>9年版）</w:t>
      </w:r>
    </w:p>
    <w:p/>
    <w:p/>
    <w:p/>
    <w:p/>
    <w:p/>
    <w:p/>
    <w:p/>
    <w:p/>
    <w:p/>
    <w:p/>
    <w:p/>
    <w:p/>
    <w:p/>
    <w:p/>
    <w:p/>
    <w:p/>
    <w:p/>
    <w:p/>
    <w:p/>
    <w:p>
      <w:pPr>
        <w:rPr>
          <w:rFonts w:ascii="宋体"/>
          <w:b/>
          <w:spacing w:val="5"/>
          <w:sz w:val="44"/>
          <w:szCs w:val="44"/>
        </w:rPr>
      </w:pPr>
    </w:p>
    <w:p>
      <w:pPr>
        <w:snapToGrid w:val="0"/>
        <w:spacing w:line="360" w:lineRule="auto"/>
        <w:jc w:val="center"/>
        <w:rPr>
          <w:rFonts w:hint="eastAsia" w:eastAsia="宋体"/>
          <w:b/>
          <w:color w:val="FF0000"/>
          <w:spacing w:val="-5"/>
          <w:sz w:val="28"/>
          <w:szCs w:val="28"/>
          <w:lang w:eastAsia="zh-CN"/>
        </w:rPr>
      </w:pPr>
      <w:r>
        <w:rPr>
          <w:rFonts w:hint="eastAsia"/>
          <w:b/>
          <w:color w:val="FF0000"/>
          <w:spacing w:val="-5"/>
          <w:sz w:val="28"/>
          <w:szCs w:val="28"/>
          <w:lang w:eastAsia="zh-CN"/>
        </w:rPr>
        <w:t>中国石化销售股份有限公司江西南昌红谷滩石油分公司世纪星加油站</w:t>
      </w:r>
    </w:p>
    <w:p>
      <w:pPr>
        <w:autoSpaceDE w:val="0"/>
        <w:autoSpaceDN w:val="0"/>
        <w:adjustRightInd w:val="0"/>
        <w:spacing w:line="480" w:lineRule="auto"/>
        <w:jc w:val="center"/>
        <w:rPr>
          <w:b/>
          <w:color w:val="000000" w:themeColor="text1"/>
          <w:spacing w:val="5"/>
          <w:sz w:val="32"/>
          <w:szCs w:val="32"/>
        </w:rPr>
      </w:pPr>
      <w:r>
        <w:rPr>
          <w:rFonts w:hint="eastAsia"/>
          <w:b/>
          <w:color w:val="000000" w:themeColor="text1"/>
          <w:spacing w:val="5"/>
          <w:sz w:val="32"/>
          <w:szCs w:val="32"/>
        </w:rPr>
        <w:t>2019年</w:t>
      </w:r>
      <w:r>
        <w:rPr>
          <w:b/>
          <w:color w:val="000000" w:themeColor="text1"/>
          <w:spacing w:val="5"/>
          <w:sz w:val="32"/>
          <w:szCs w:val="32"/>
        </w:rPr>
        <w:t>6</w:t>
      </w:r>
      <w:r>
        <w:rPr>
          <w:rFonts w:hint="eastAsia"/>
          <w:b/>
          <w:color w:val="000000" w:themeColor="text1"/>
          <w:spacing w:val="5"/>
          <w:sz w:val="32"/>
          <w:szCs w:val="32"/>
        </w:rPr>
        <w:t>月</w:t>
      </w:r>
    </w:p>
    <w:p>
      <w:pPr>
        <w:autoSpaceDE w:val="0"/>
        <w:autoSpaceDN w:val="0"/>
        <w:adjustRightInd w:val="0"/>
        <w:spacing w:line="480" w:lineRule="auto"/>
        <w:jc w:val="center"/>
        <w:rPr>
          <w:b/>
          <w:spacing w:val="5"/>
          <w:sz w:val="32"/>
          <w:szCs w:val="32"/>
        </w:rPr>
      </w:pPr>
    </w:p>
    <w:p>
      <w:pPr>
        <w:autoSpaceDE w:val="0"/>
        <w:autoSpaceDN w:val="0"/>
        <w:adjustRightInd w:val="0"/>
        <w:spacing w:line="480" w:lineRule="auto"/>
        <w:jc w:val="center"/>
        <w:rPr>
          <w:b/>
          <w:spacing w:val="5"/>
          <w:sz w:val="32"/>
          <w:szCs w:val="32"/>
        </w:rPr>
        <w:sectPr>
          <w:footerReference r:id="rId3" w:type="default"/>
          <w:pgSz w:w="11906" w:h="16838"/>
          <w:pgMar w:top="1440" w:right="1800" w:bottom="1440" w:left="1800" w:header="851" w:footer="992" w:gutter="0"/>
          <w:cols w:space="720" w:num="1"/>
          <w:titlePg/>
          <w:docGrid w:type="lines" w:linePitch="312" w:charSpace="0"/>
        </w:sectPr>
      </w:pPr>
    </w:p>
    <w:p>
      <w:pPr>
        <w:outlineLvl w:val="0"/>
        <w:rPr>
          <w:rFonts w:eastAsia="楷体"/>
          <w:b/>
          <w:snapToGrid w:val="0"/>
          <w:spacing w:val="4"/>
          <w:kern w:val="0"/>
          <w:sz w:val="30"/>
          <w:szCs w:val="32"/>
        </w:rPr>
      </w:pPr>
      <w:r>
        <w:rPr>
          <w:rFonts w:hint="eastAsia" w:eastAsia="楷体"/>
          <w:b/>
          <w:snapToGrid w:val="0"/>
          <w:spacing w:val="4"/>
          <w:kern w:val="0"/>
          <w:sz w:val="30"/>
          <w:szCs w:val="32"/>
        </w:rPr>
        <w:t>一、应急预案编制背景</w:t>
      </w:r>
    </w:p>
    <w:p>
      <w:pPr>
        <w:spacing w:line="440" w:lineRule="exact"/>
        <w:ind w:firstLine="480" w:firstLineChars="200"/>
        <w:rPr>
          <w:color w:val="000000" w:themeColor="text1"/>
          <w:sz w:val="24"/>
          <w:szCs w:val="24"/>
        </w:rPr>
      </w:pPr>
      <w:r>
        <w:rPr>
          <w:rFonts w:hint="eastAsia"/>
          <w:color w:val="000000" w:themeColor="text1"/>
          <w:sz w:val="24"/>
          <w:szCs w:val="24"/>
        </w:rPr>
        <w:t>为贯彻落实《中华人民共和国环境保护法》、《中华人民共和国突发事件应对法》、《国家突发环境事件应急预案》、《突发环境事件应急预案管理暂行办法》等相关法律、法规和规章要求，建立健全</w:t>
      </w:r>
      <w:r>
        <w:rPr>
          <w:rFonts w:hint="eastAsia" w:hAnsi="宋体"/>
          <w:color w:val="FF0000"/>
          <w:sz w:val="24"/>
          <w:szCs w:val="24"/>
          <w:lang w:eastAsia="zh-CN"/>
        </w:rPr>
        <w:t>中国石化销售股份有限公司江西南昌红谷滩石油分公司世纪星加油站</w:t>
      </w:r>
      <w:r>
        <w:rPr>
          <w:rFonts w:hint="eastAsia"/>
          <w:color w:val="000000" w:themeColor="text1"/>
          <w:sz w:val="24"/>
          <w:szCs w:val="24"/>
        </w:rPr>
        <w:t>突发环境事件应急体系，提高企业对突发环境事件的预防、应急响应和处置能力，通过实施有效的预防和监控措施，尽可能地避免和减少突发环境事件的发生，通过对突发环境事件的迅速响应和开展有效的应急行动，有效消除、降低突发环境事件的污染危害和影响，企业组成以</w:t>
      </w:r>
      <w:r>
        <w:rPr>
          <w:rFonts w:hint="eastAsia" w:ascii="宋体" w:hAnsi="宋体" w:cs="宋体"/>
          <w:color w:val="FF0000"/>
          <w:sz w:val="24"/>
          <w:szCs w:val="24"/>
        </w:rPr>
        <w:t>站长</w:t>
      </w:r>
      <w:r>
        <w:rPr>
          <w:rFonts w:hint="eastAsia" w:ascii="宋体" w:hAnsi="宋体" w:cs="宋体"/>
          <w:color w:val="FF0000"/>
          <w:sz w:val="24"/>
          <w:szCs w:val="24"/>
          <w:lang w:eastAsia="zh-CN"/>
        </w:rPr>
        <w:t>熊雄</w:t>
      </w:r>
      <w:r>
        <w:rPr>
          <w:rFonts w:hint="eastAsia"/>
          <w:color w:val="000000" w:themeColor="text1"/>
          <w:sz w:val="24"/>
          <w:szCs w:val="24"/>
        </w:rPr>
        <w:t>为组长，各部门主要负责人参与的应急预案编制小组，编制了《</w:t>
      </w:r>
      <w:r>
        <w:rPr>
          <w:rFonts w:hint="eastAsia" w:hAnsi="宋体"/>
          <w:color w:val="FF0000"/>
          <w:sz w:val="24"/>
          <w:szCs w:val="24"/>
          <w:lang w:eastAsia="zh-CN"/>
        </w:rPr>
        <w:t>中国石化销售股份有限公司江西南昌红谷滩石油分公司世纪星加油站</w:t>
      </w:r>
      <w:r>
        <w:rPr>
          <w:rFonts w:hint="eastAsia"/>
          <w:color w:val="000000" w:themeColor="text1"/>
          <w:sz w:val="24"/>
          <w:szCs w:val="24"/>
        </w:rPr>
        <w:t>突发环境事件应急预案》。</w:t>
      </w:r>
    </w:p>
    <w:p>
      <w:pPr>
        <w:outlineLvl w:val="0"/>
        <w:rPr>
          <w:rFonts w:eastAsia="楷体"/>
          <w:b/>
          <w:snapToGrid w:val="0"/>
          <w:spacing w:val="4"/>
          <w:kern w:val="0"/>
          <w:sz w:val="30"/>
          <w:szCs w:val="32"/>
        </w:rPr>
      </w:pPr>
      <w:r>
        <w:rPr>
          <w:rFonts w:hint="eastAsia" w:eastAsia="楷体"/>
          <w:b/>
          <w:snapToGrid w:val="0"/>
          <w:spacing w:val="4"/>
          <w:kern w:val="0"/>
          <w:sz w:val="30"/>
          <w:szCs w:val="32"/>
        </w:rPr>
        <w:t>二、应急预案编制过程概述</w:t>
      </w:r>
    </w:p>
    <w:p>
      <w:pPr>
        <w:topLinePunct/>
        <w:adjustRightInd w:val="0"/>
        <w:spacing w:line="440" w:lineRule="exact"/>
        <w:ind w:firstLine="480" w:firstLineChars="200"/>
        <w:rPr>
          <w:sz w:val="24"/>
        </w:rPr>
      </w:pPr>
      <w:r>
        <w:rPr>
          <w:rFonts w:hint="eastAsia"/>
          <w:sz w:val="24"/>
        </w:rPr>
        <w:t>（一）资料整理</w:t>
      </w:r>
    </w:p>
    <w:p>
      <w:pPr>
        <w:topLinePunct/>
        <w:adjustRightInd w:val="0"/>
        <w:spacing w:line="440" w:lineRule="exact"/>
        <w:ind w:firstLine="480" w:firstLineChars="200"/>
        <w:rPr>
          <w:color w:val="000000" w:themeColor="text1"/>
          <w:sz w:val="24"/>
          <w:szCs w:val="24"/>
        </w:rPr>
      </w:pPr>
      <w:r>
        <w:rPr>
          <w:rFonts w:hint="eastAsia"/>
          <w:color w:val="000000" w:themeColor="text1"/>
          <w:sz w:val="24"/>
        </w:rPr>
        <w:t>2019年6月10~13日，</w:t>
      </w:r>
      <w:r>
        <w:rPr>
          <w:rFonts w:hint="eastAsia" w:hAnsi="宋体"/>
          <w:color w:val="FF0000"/>
          <w:sz w:val="24"/>
          <w:szCs w:val="24"/>
          <w:lang w:eastAsia="zh-CN"/>
        </w:rPr>
        <w:t>中国石化销售股份有限公司江西南昌红谷滩石油分公司世纪星加油站</w:t>
      </w:r>
      <w:r>
        <w:rPr>
          <w:rFonts w:hint="eastAsia"/>
          <w:color w:val="000000" w:themeColor="text1"/>
          <w:sz w:val="24"/>
          <w:szCs w:val="24"/>
        </w:rPr>
        <w:t>应急预案编制小组对企业周边环境敏感目标、所在区域水体、生产规模及现状、生产工艺、产排污节点、污染治理设施情况、突发环境事件应急物资和装备情况以及现有应急风险水平等资料进行整理。</w:t>
      </w:r>
    </w:p>
    <w:p>
      <w:pPr>
        <w:topLinePunct/>
        <w:adjustRightInd w:val="0"/>
        <w:spacing w:line="440" w:lineRule="exact"/>
        <w:ind w:firstLine="480" w:firstLineChars="200"/>
        <w:rPr>
          <w:color w:val="000000" w:themeColor="text1"/>
          <w:sz w:val="24"/>
        </w:rPr>
      </w:pPr>
      <w:r>
        <w:rPr>
          <w:rFonts w:hint="eastAsia"/>
          <w:color w:val="000000" w:themeColor="text1"/>
          <w:sz w:val="24"/>
        </w:rPr>
        <w:t>（二）现场排查</w:t>
      </w:r>
    </w:p>
    <w:p>
      <w:pPr>
        <w:topLinePunct/>
        <w:adjustRightInd w:val="0"/>
        <w:spacing w:line="440" w:lineRule="exact"/>
        <w:ind w:firstLine="480" w:firstLineChars="200"/>
        <w:rPr>
          <w:sz w:val="24"/>
        </w:rPr>
      </w:pPr>
      <w:r>
        <w:rPr>
          <w:rFonts w:hint="eastAsia"/>
          <w:color w:val="000000" w:themeColor="text1"/>
          <w:sz w:val="24"/>
        </w:rPr>
        <w:t>2019年6月14日~6月17日，应急预案</w:t>
      </w:r>
      <w:r>
        <w:rPr>
          <w:rFonts w:hint="eastAsia"/>
          <w:sz w:val="24"/>
        </w:rPr>
        <w:t>编制小组在资料整理的基础上，结合企业周边的环境敏感点，所在</w:t>
      </w:r>
      <w:bookmarkStart w:id="0" w:name="_GoBack"/>
      <w:bookmarkEnd w:id="0"/>
      <w:r>
        <w:rPr>
          <w:rFonts w:hint="eastAsia"/>
          <w:sz w:val="24"/>
        </w:rPr>
        <w:t>区域的水体、功能区划等情况，对整个企业现场环境风险点进行逐项排查分析与评估，包括生产工艺、储存设施、污染治理设施情况，并对环境通道与环境敏感目标、防范环境风险的防控措施与管理制度进行全面排查分析与评估。</w:t>
      </w:r>
    </w:p>
    <w:p>
      <w:pPr>
        <w:topLinePunct/>
        <w:adjustRightInd w:val="0"/>
        <w:spacing w:line="440" w:lineRule="exact"/>
        <w:ind w:firstLine="480" w:firstLineChars="200"/>
        <w:rPr>
          <w:sz w:val="24"/>
        </w:rPr>
      </w:pPr>
      <w:r>
        <w:rPr>
          <w:rFonts w:hint="eastAsia"/>
          <w:sz w:val="24"/>
        </w:rPr>
        <w:t>在现场排查过程中坚持不留盲点，不留死角，横向到边，纵向到底的原则，并在环境风险排查的基础上，对每个环境风险进行评估，对排查过程中发现的问题和不足，根据企业实际分别提出短、中、长期整改措施和建议。</w:t>
      </w:r>
    </w:p>
    <w:p>
      <w:pPr>
        <w:topLinePunct/>
        <w:adjustRightInd w:val="0"/>
        <w:spacing w:line="440" w:lineRule="exact"/>
        <w:ind w:firstLine="480" w:firstLineChars="200"/>
        <w:rPr>
          <w:sz w:val="24"/>
        </w:rPr>
      </w:pPr>
      <w:r>
        <w:rPr>
          <w:rFonts w:hint="eastAsia"/>
          <w:sz w:val="24"/>
        </w:rPr>
        <w:t>（三）风险评估报告编写</w:t>
      </w:r>
    </w:p>
    <w:p>
      <w:pPr>
        <w:topLinePunct/>
        <w:adjustRightInd w:val="0"/>
        <w:spacing w:line="440" w:lineRule="exact"/>
        <w:ind w:firstLine="480" w:firstLineChars="200"/>
        <w:rPr>
          <w:color w:val="000000" w:themeColor="text1"/>
          <w:sz w:val="24"/>
        </w:rPr>
      </w:pPr>
      <w:r>
        <w:rPr>
          <w:rFonts w:hint="eastAsia"/>
          <w:color w:val="000000" w:themeColor="text1"/>
          <w:sz w:val="24"/>
        </w:rPr>
        <w:t>应急预案编制小组在资料整理、现场排查的基础上，编制了《</w:t>
      </w:r>
      <w:r>
        <w:rPr>
          <w:rFonts w:hint="eastAsia" w:hAnsi="宋体"/>
          <w:color w:val="FF0000"/>
          <w:sz w:val="24"/>
          <w:szCs w:val="24"/>
          <w:lang w:eastAsia="zh-CN"/>
        </w:rPr>
        <w:t>中国石化销售股份有限公司江西南昌红谷滩石油分公司世纪星加油站</w:t>
      </w:r>
      <w:r>
        <w:rPr>
          <w:rFonts w:hint="eastAsia"/>
          <w:color w:val="000000" w:themeColor="text1"/>
          <w:sz w:val="24"/>
        </w:rPr>
        <w:t>突发环境事件风险评估报告》和《</w:t>
      </w:r>
      <w:r>
        <w:rPr>
          <w:rFonts w:hint="eastAsia" w:hAnsi="宋体"/>
          <w:color w:val="FF0000"/>
          <w:sz w:val="24"/>
          <w:szCs w:val="24"/>
          <w:lang w:eastAsia="zh-CN"/>
        </w:rPr>
        <w:t>中国石化销售股份有限公司江西南昌红谷滩石油分公司世纪星加油站</w:t>
      </w:r>
      <w:r>
        <w:rPr>
          <w:rFonts w:hint="eastAsia"/>
          <w:color w:val="000000" w:themeColor="text1"/>
          <w:sz w:val="24"/>
        </w:rPr>
        <w:t>应急物资调查报告》，作为《</w:t>
      </w:r>
      <w:r>
        <w:rPr>
          <w:rFonts w:hint="eastAsia" w:hAnsi="宋体"/>
          <w:color w:val="FF0000"/>
          <w:sz w:val="24"/>
          <w:szCs w:val="24"/>
          <w:lang w:eastAsia="zh-CN"/>
        </w:rPr>
        <w:t>中国石化销售股份有限公司江西南昌红谷滩石油分公司世纪星加油站</w:t>
      </w:r>
      <w:r>
        <w:rPr>
          <w:rFonts w:hint="eastAsia"/>
          <w:color w:val="000000" w:themeColor="text1"/>
          <w:sz w:val="24"/>
        </w:rPr>
        <w:t>突发环境事件应急预案》的技术支撑资料。</w:t>
      </w:r>
    </w:p>
    <w:p>
      <w:pPr>
        <w:topLinePunct/>
        <w:adjustRightInd w:val="0"/>
        <w:spacing w:line="440" w:lineRule="exact"/>
        <w:ind w:firstLine="480" w:firstLineChars="200"/>
        <w:jc w:val="left"/>
        <w:rPr>
          <w:sz w:val="24"/>
        </w:rPr>
      </w:pPr>
      <w:r>
        <w:rPr>
          <w:rFonts w:hint="eastAsia"/>
          <w:sz w:val="24"/>
        </w:rPr>
        <w:t>（四）应急预案编写</w:t>
      </w:r>
    </w:p>
    <w:p>
      <w:pPr>
        <w:tabs>
          <w:tab w:val="left" w:pos="4701"/>
        </w:tabs>
        <w:spacing w:line="440" w:lineRule="exact"/>
        <w:ind w:firstLine="480" w:firstLineChars="200"/>
        <w:jc w:val="left"/>
        <w:rPr>
          <w:color w:val="000000" w:themeColor="text1"/>
          <w:sz w:val="24"/>
        </w:rPr>
      </w:pPr>
      <w:r>
        <w:rPr>
          <w:rFonts w:hint="eastAsia"/>
          <w:sz w:val="24"/>
        </w:rPr>
        <w:t>根据企业实际，并结合周边环境敏感目标的分布及性质，确定预警级别、响应流程，结合</w:t>
      </w:r>
      <w:r>
        <w:rPr>
          <w:rFonts w:hint="eastAsia"/>
          <w:color w:val="000000" w:themeColor="text1"/>
          <w:sz w:val="24"/>
        </w:rPr>
        <w:t>《</w:t>
      </w:r>
      <w:r>
        <w:rPr>
          <w:rFonts w:hint="eastAsia" w:hAnsi="宋体"/>
          <w:color w:val="FF0000"/>
          <w:sz w:val="24"/>
          <w:szCs w:val="24"/>
          <w:lang w:eastAsia="zh-CN"/>
        </w:rPr>
        <w:t>中国石化销售股份有限公司江西南昌红谷滩石油分公司世纪星加油站</w:t>
      </w:r>
      <w:r>
        <w:rPr>
          <w:rFonts w:hint="eastAsia"/>
          <w:color w:val="000000" w:themeColor="text1"/>
          <w:sz w:val="24"/>
        </w:rPr>
        <w:t>突发环境事件风险评估报告》中风险源的排查和评估，编制完成了</w:t>
      </w:r>
      <w:r>
        <w:rPr>
          <w:rFonts w:hint="eastAsia" w:hAnsi="宋体"/>
          <w:color w:val="FF0000"/>
          <w:sz w:val="24"/>
          <w:szCs w:val="24"/>
          <w:lang w:eastAsia="zh-CN"/>
        </w:rPr>
        <w:t>中国石化销售股份有限公司江西南昌红谷滩石油分公司世纪星加油站</w:t>
      </w:r>
      <w:r>
        <w:rPr>
          <w:rFonts w:hint="eastAsia"/>
          <w:color w:val="000000" w:themeColor="text1"/>
          <w:sz w:val="24"/>
        </w:rPr>
        <w:t>突发环境事件应急预案》。</w:t>
      </w:r>
    </w:p>
    <w:p>
      <w:r>
        <w:pict>
          <v:shape id="Picture 2" o:spid="_x0000_s1026" o:spt="75" type="#_x0000_t75" style="position:absolute;left:0pt;margin-left:-4.05pt;margin-top:9.65pt;height:507.45pt;width:384.05pt;z-index:251658240;mso-width-relative:page;mso-height-relative:page;" o:ole="t" filled="f" o:preferrelative="t" stroked="f" coordsize="21600,21600">
            <v:path/>
            <v:fill on="f" focussize="0,0"/>
            <v:stroke on="f" joinstyle="miter"/>
            <v:imagedata r:id="rId10" o:title=""/>
            <o:lock v:ext="edit" aspectratio="f"/>
          </v:shape>
          <o:OLEObject Type="Embed" ProgID="Visio.Drawing.11" ShapeID="Picture 2" DrawAspect="Content" ObjectID="_1468075725" r:id="rId9">
            <o:LockedField>false</o:LockedField>
          </o:OLEObject>
        </w:pict>
      </w:r>
    </w:p>
    <w:p/>
    <w:p/>
    <w:p/>
    <w:p/>
    <w:p/>
    <w:p/>
    <w:p/>
    <w:p/>
    <w:p/>
    <w:p/>
    <w:p/>
    <w:p/>
    <w:p/>
    <w:p/>
    <w:p/>
    <w:p/>
    <w:p/>
    <w:p/>
    <w:p/>
    <w:p/>
    <w:p/>
    <w:p/>
    <w:p/>
    <w:p/>
    <w:p/>
    <w:p/>
    <w:p/>
    <w:p/>
    <w:p/>
    <w:p/>
    <w:p/>
    <w:p/>
    <w:p>
      <w:pPr>
        <w:topLinePunct/>
        <w:adjustRightInd w:val="0"/>
        <w:spacing w:line="440" w:lineRule="exact"/>
        <w:jc w:val="center"/>
        <w:rPr>
          <w:b/>
          <w:bCs/>
        </w:rPr>
      </w:pPr>
      <w:r>
        <w:rPr>
          <w:rFonts w:hint="eastAsia"/>
          <w:b/>
          <w:bCs/>
        </w:rPr>
        <w:t>图</w:t>
      </w:r>
      <w:r>
        <w:rPr>
          <w:b/>
          <w:bCs/>
        </w:rPr>
        <w:t>1</w:t>
      </w:r>
      <w:r>
        <w:rPr>
          <w:rFonts w:hint="eastAsia"/>
          <w:b/>
          <w:bCs/>
        </w:rPr>
        <w:t xml:space="preserve">  应急预案编写技术路线图</w:t>
      </w:r>
    </w:p>
    <w:p>
      <w:pPr>
        <w:outlineLvl w:val="0"/>
        <w:rPr>
          <w:rFonts w:eastAsia="楷体"/>
          <w:b/>
          <w:snapToGrid w:val="0"/>
          <w:spacing w:val="4"/>
          <w:kern w:val="0"/>
          <w:sz w:val="30"/>
          <w:szCs w:val="32"/>
        </w:rPr>
      </w:pPr>
      <w:r>
        <w:rPr>
          <w:rFonts w:hint="eastAsia" w:eastAsia="楷体"/>
          <w:b/>
          <w:snapToGrid w:val="0"/>
          <w:spacing w:val="4"/>
          <w:kern w:val="0"/>
          <w:sz w:val="30"/>
          <w:szCs w:val="32"/>
        </w:rPr>
        <w:t>三、重点内容说明</w:t>
      </w:r>
    </w:p>
    <w:p>
      <w:pPr>
        <w:topLinePunct/>
        <w:adjustRightInd w:val="0"/>
        <w:spacing w:line="440" w:lineRule="exact"/>
        <w:ind w:firstLine="480" w:firstLineChars="200"/>
        <w:rPr>
          <w:sz w:val="24"/>
        </w:rPr>
      </w:pPr>
      <w:r>
        <w:rPr>
          <w:rFonts w:hint="eastAsia"/>
          <w:sz w:val="24"/>
        </w:rPr>
        <w:t>（一）企业简介</w:t>
      </w:r>
    </w:p>
    <w:p>
      <w:pPr>
        <w:spacing w:line="500" w:lineRule="exact"/>
        <w:ind w:firstLine="480" w:firstLineChars="200"/>
        <w:rPr>
          <w:rFonts w:hAnsi="宋体"/>
          <w:color w:val="FF0000"/>
          <w:sz w:val="24"/>
          <w:szCs w:val="24"/>
        </w:rPr>
      </w:pPr>
      <w:r>
        <w:rPr>
          <w:rFonts w:hint="eastAsia" w:hAnsi="宋体"/>
          <w:color w:val="FF0000"/>
          <w:sz w:val="24"/>
          <w:szCs w:val="24"/>
          <w:lang w:eastAsia="zh-CN"/>
        </w:rPr>
        <w:t>世纪星加油站</w:t>
      </w:r>
      <w:r>
        <w:rPr>
          <w:rFonts w:hAnsi="宋体"/>
          <w:color w:val="FF0000"/>
          <w:sz w:val="24"/>
          <w:szCs w:val="24"/>
        </w:rPr>
        <w:t>位于</w:t>
      </w:r>
      <w:r>
        <w:rPr>
          <w:rFonts w:hint="eastAsia" w:hAnsi="宋体"/>
          <w:color w:val="FF0000"/>
          <w:sz w:val="24"/>
          <w:szCs w:val="24"/>
          <w:lang w:eastAsia="zh-CN"/>
        </w:rPr>
        <w:t>南昌市昌</w:t>
      </w:r>
      <w:r>
        <w:rPr>
          <w:rFonts w:hint="eastAsia" w:ascii="宋体" w:hAnsi="宋体" w:eastAsia="宋体" w:cs="宋体"/>
          <w:color w:val="FF0000"/>
          <w:sz w:val="24"/>
          <w:szCs w:val="24"/>
          <w:lang w:eastAsia="zh-CN"/>
        </w:rPr>
        <w:t>北瀛</w:t>
      </w:r>
      <w:r>
        <w:rPr>
          <w:rFonts w:hint="eastAsia" w:ascii="宋体" w:hAnsi="宋体" w:eastAsia="宋体" w:cs="宋体"/>
          <w:color w:val="FF0000"/>
          <w:sz w:val="24"/>
          <w:szCs w:val="24"/>
          <w:lang w:val="en-US" w:eastAsia="zh-CN"/>
        </w:rPr>
        <w:t>(</w:t>
      </w:r>
      <w:r>
        <w:rPr>
          <w:rFonts w:hint="eastAsia" w:ascii="宋体" w:hAnsi="宋体" w:cs="宋体"/>
          <w:color w:val="FF0000"/>
          <w:sz w:val="24"/>
          <w:szCs w:val="24"/>
          <w:lang w:val="en-US" w:eastAsia="zh-CN"/>
        </w:rPr>
        <w:t>昌北开发区舍里甲</w:t>
      </w:r>
      <w:r>
        <w:rPr>
          <w:rFonts w:hint="eastAsia" w:ascii="宋体" w:hAnsi="宋体" w:eastAsia="宋体" w:cs="宋体"/>
          <w:color w:val="FF0000"/>
          <w:sz w:val="24"/>
          <w:szCs w:val="24"/>
          <w:lang w:val="en-US" w:eastAsia="zh-CN"/>
        </w:rPr>
        <w:t>)</w:t>
      </w:r>
      <w:r>
        <w:rPr>
          <w:rFonts w:hint="eastAsia" w:ascii="宋体" w:hAnsi="宋体" w:eastAsia="宋体" w:cs="宋体"/>
          <w:color w:val="FF0000"/>
          <w:sz w:val="24"/>
          <w:szCs w:val="24"/>
        </w:rPr>
        <w:t>。</w:t>
      </w:r>
      <w:r>
        <w:rPr>
          <w:rFonts w:hint="eastAsia" w:hAnsi="宋体"/>
          <w:color w:val="FF0000"/>
          <w:sz w:val="24"/>
          <w:szCs w:val="24"/>
        </w:rPr>
        <w:t>该站设置</w:t>
      </w:r>
      <w:r>
        <w:rPr>
          <w:rFonts w:hint="eastAsia" w:hAnsi="宋体"/>
          <w:color w:val="FF0000"/>
          <w:sz w:val="24"/>
          <w:szCs w:val="24"/>
          <w:lang w:val="en-US" w:eastAsia="zh-CN"/>
        </w:rPr>
        <w:t>5</w:t>
      </w:r>
      <w:r>
        <w:rPr>
          <w:rFonts w:hAnsi="宋体"/>
          <w:color w:val="FF0000"/>
          <w:sz w:val="24"/>
          <w:szCs w:val="24"/>
        </w:rPr>
        <w:t>台30m</w:t>
      </w:r>
      <w:r>
        <w:rPr>
          <w:rFonts w:hAnsi="宋体"/>
          <w:color w:val="FF0000"/>
          <w:sz w:val="24"/>
          <w:szCs w:val="24"/>
          <w:vertAlign w:val="superscript"/>
        </w:rPr>
        <w:t>3</w:t>
      </w:r>
      <w:r>
        <w:rPr>
          <w:rFonts w:hAnsi="宋体"/>
          <w:color w:val="FF0000"/>
          <w:sz w:val="24"/>
          <w:szCs w:val="24"/>
        </w:rPr>
        <w:t>的汽油卧式油罐，双枪机油机</w:t>
      </w:r>
      <w:r>
        <w:rPr>
          <w:rFonts w:hint="eastAsia" w:hAnsi="宋体"/>
          <w:color w:val="FF0000"/>
          <w:sz w:val="24"/>
          <w:szCs w:val="24"/>
        </w:rPr>
        <w:t>6</w:t>
      </w:r>
      <w:r>
        <w:rPr>
          <w:rFonts w:hAnsi="宋体"/>
          <w:color w:val="FF0000"/>
          <w:sz w:val="24"/>
          <w:szCs w:val="24"/>
        </w:rPr>
        <w:t>台，计</w:t>
      </w:r>
      <w:r>
        <w:rPr>
          <w:rFonts w:hint="eastAsia" w:hAnsi="宋体"/>
          <w:color w:val="FF0000"/>
          <w:sz w:val="24"/>
          <w:szCs w:val="24"/>
        </w:rPr>
        <w:t>12</w:t>
      </w:r>
      <w:r>
        <w:rPr>
          <w:rFonts w:hAnsi="宋体"/>
          <w:color w:val="FF0000"/>
          <w:sz w:val="24"/>
          <w:szCs w:val="24"/>
        </w:rPr>
        <w:t>枪。</w:t>
      </w:r>
    </w:p>
    <w:p>
      <w:pPr>
        <w:spacing w:line="500" w:lineRule="exact"/>
        <w:ind w:firstLine="480" w:firstLineChars="200"/>
        <w:rPr>
          <w:color w:val="FF0000"/>
          <w:sz w:val="24"/>
          <w:szCs w:val="24"/>
          <w:shd w:val="clear" w:color="auto" w:fill="FFFFFF"/>
        </w:rPr>
      </w:pPr>
      <w:r>
        <w:rPr>
          <w:rFonts w:hint="eastAsia" w:hAnsi="宋体"/>
          <w:color w:val="FF0000"/>
          <w:sz w:val="24"/>
          <w:szCs w:val="24"/>
          <w:lang w:eastAsia="zh-CN"/>
        </w:rPr>
        <w:t>中国石化销售股份有限公司江西南昌红谷滩石油分公司世纪星加油站</w:t>
      </w:r>
      <w:r>
        <w:rPr>
          <w:rFonts w:hint="eastAsia"/>
          <w:color w:val="FF0000"/>
          <w:sz w:val="24"/>
          <w:szCs w:val="24"/>
          <w:shd w:val="clear" w:color="auto" w:fill="FFFFFF"/>
        </w:rPr>
        <w:t>劳动</w:t>
      </w:r>
      <w:r>
        <w:rPr>
          <w:color w:val="FF0000"/>
          <w:sz w:val="24"/>
          <w:szCs w:val="24"/>
          <w:shd w:val="clear" w:color="auto" w:fill="FFFFFF"/>
        </w:rPr>
        <w:t>定员</w:t>
      </w:r>
      <w:r>
        <w:rPr>
          <w:rFonts w:hint="eastAsia"/>
          <w:color w:val="FF0000"/>
          <w:sz w:val="24"/>
          <w:szCs w:val="24"/>
          <w:shd w:val="clear" w:color="auto" w:fill="FFFFFF"/>
          <w:lang w:val="en-US" w:eastAsia="zh-CN"/>
        </w:rPr>
        <w:t>11</w:t>
      </w:r>
      <w:r>
        <w:rPr>
          <w:color w:val="FF0000"/>
          <w:sz w:val="24"/>
          <w:szCs w:val="24"/>
          <w:shd w:val="clear" w:color="auto" w:fill="FFFFFF"/>
        </w:rPr>
        <w:t>人</w:t>
      </w:r>
      <w:r>
        <w:rPr>
          <w:rFonts w:hint="eastAsia"/>
          <w:color w:val="FF0000"/>
          <w:sz w:val="24"/>
          <w:szCs w:val="24"/>
          <w:shd w:val="clear" w:color="auto" w:fill="FFFFFF"/>
        </w:rPr>
        <w:t>，</w:t>
      </w:r>
      <w:r>
        <w:rPr>
          <w:rFonts w:hint="eastAsia" w:hAnsi="宋体"/>
          <w:color w:val="FF0000"/>
          <w:sz w:val="24"/>
          <w:szCs w:val="24"/>
        </w:rPr>
        <w:t>实行四班三运转生产。</w:t>
      </w:r>
    </w:p>
    <w:p>
      <w:pPr>
        <w:spacing w:line="500" w:lineRule="exact"/>
        <w:ind w:firstLine="480" w:firstLineChars="200"/>
        <w:rPr>
          <w:color w:val="000000" w:themeColor="text1"/>
          <w:sz w:val="24"/>
          <w:shd w:val="clear" w:color="auto" w:fill="FFFFFF"/>
        </w:rPr>
      </w:pPr>
      <w:r>
        <w:rPr>
          <w:rFonts w:hint="eastAsia"/>
          <w:bCs/>
          <w:color w:val="000000" w:themeColor="text1"/>
          <w:kern w:val="0"/>
          <w:sz w:val="24"/>
          <w:szCs w:val="24"/>
        </w:rPr>
        <w:t>根据环境风险评估报告结论，企业环境风险级别为一般环境风险，可表示为</w:t>
      </w:r>
      <w:r>
        <w:rPr>
          <w:rFonts w:hint="eastAsia" w:hAnsi="宋体"/>
          <w:color w:val="000000" w:themeColor="text1"/>
          <w:sz w:val="24"/>
          <w:szCs w:val="24"/>
        </w:rPr>
        <w:t>一般</w:t>
      </w:r>
      <w:r>
        <w:rPr>
          <w:rFonts w:hint="eastAsia" w:asciiTheme="minorEastAsia" w:hAnsiTheme="minorEastAsia" w:eastAsiaTheme="minorEastAsia"/>
          <w:color w:val="000000" w:themeColor="text1"/>
          <w:sz w:val="24"/>
          <w:szCs w:val="24"/>
        </w:rPr>
        <w:t>[</w:t>
      </w:r>
      <w:r>
        <w:rPr>
          <w:rFonts w:hint="eastAsia"/>
          <w:color w:val="000000" w:themeColor="text1"/>
          <w:sz w:val="24"/>
          <w:szCs w:val="24"/>
        </w:rPr>
        <w:t>一般-大气（Q0）</w:t>
      </w:r>
      <w:r>
        <w:rPr>
          <w:rFonts w:hint="eastAsia" w:hAnsi="宋体" w:cs="宋体"/>
          <w:color w:val="000000" w:themeColor="text1"/>
          <w:sz w:val="24"/>
          <w:szCs w:val="24"/>
        </w:rPr>
        <w:t>＋</w:t>
      </w:r>
      <w:r>
        <w:rPr>
          <w:rFonts w:hint="eastAsia"/>
          <w:color w:val="000000" w:themeColor="text1"/>
          <w:sz w:val="24"/>
          <w:szCs w:val="24"/>
        </w:rPr>
        <w:t>一般-水（Q0）</w:t>
      </w:r>
      <w:r>
        <w:rPr>
          <w:rFonts w:hint="eastAsia" w:asciiTheme="minorEastAsia" w:hAnsiTheme="minorEastAsia" w:eastAsiaTheme="minorEastAsia"/>
          <w:color w:val="000000" w:themeColor="text1"/>
          <w:sz w:val="24"/>
          <w:szCs w:val="24"/>
        </w:rPr>
        <w:t>]</w:t>
      </w:r>
      <w:r>
        <w:rPr>
          <w:rFonts w:hint="eastAsia"/>
          <w:bCs/>
          <w:color w:val="000000" w:themeColor="text1"/>
          <w:kern w:val="0"/>
          <w:sz w:val="24"/>
          <w:szCs w:val="24"/>
        </w:rPr>
        <w:t>。</w:t>
      </w:r>
    </w:p>
    <w:p>
      <w:pPr>
        <w:spacing w:line="440" w:lineRule="exact"/>
        <w:ind w:firstLine="480" w:firstLineChars="200"/>
        <w:rPr>
          <w:color w:val="000000" w:themeColor="text1"/>
          <w:sz w:val="24"/>
        </w:rPr>
      </w:pPr>
      <w:r>
        <w:rPr>
          <w:rFonts w:hint="eastAsia"/>
          <w:color w:val="000000" w:themeColor="text1"/>
          <w:sz w:val="24"/>
        </w:rPr>
        <w:t>（二）应急预案篇章设置</w:t>
      </w:r>
    </w:p>
    <w:p>
      <w:pPr>
        <w:spacing w:line="440" w:lineRule="exact"/>
        <w:ind w:firstLine="480" w:firstLineChars="200"/>
        <w:jc w:val="left"/>
        <w:rPr>
          <w:color w:val="000000" w:themeColor="text1"/>
          <w:sz w:val="24"/>
        </w:rPr>
      </w:pPr>
      <w:r>
        <w:rPr>
          <w:rFonts w:hint="eastAsia"/>
          <w:color w:val="000000" w:themeColor="text1"/>
          <w:sz w:val="24"/>
        </w:rPr>
        <w:t>《</w:t>
      </w:r>
      <w:r>
        <w:rPr>
          <w:rFonts w:hint="eastAsia" w:hAnsi="宋体"/>
          <w:color w:val="FF0000"/>
          <w:sz w:val="24"/>
          <w:szCs w:val="24"/>
          <w:lang w:eastAsia="zh-CN"/>
        </w:rPr>
        <w:t>中国石化销售股份有限公司江西南昌红谷滩石油分公司世纪星加油站</w:t>
      </w:r>
      <w:r>
        <w:rPr>
          <w:rFonts w:hint="eastAsia"/>
          <w:color w:val="000000" w:themeColor="text1"/>
          <w:sz w:val="24"/>
        </w:rPr>
        <w:t>突发环境事件应急预案》共设</w:t>
      </w:r>
      <w:r>
        <w:rPr>
          <w:color w:val="000000" w:themeColor="text1"/>
          <w:sz w:val="24"/>
        </w:rPr>
        <w:t>14</w:t>
      </w:r>
      <w:r>
        <w:rPr>
          <w:rFonts w:hint="eastAsia"/>
          <w:color w:val="000000" w:themeColor="text1"/>
          <w:sz w:val="24"/>
        </w:rPr>
        <w:t>个章节，分别是总则、企业基本情况、环境风险分析、应急组织体系与职责、预防与预警、应急响应、应急处置、应急终止、信息报告、上报与通报、后期处置、应急保障、监督与管理、附则、附图与附件。</w:t>
      </w:r>
    </w:p>
    <w:p>
      <w:pPr>
        <w:topLinePunct/>
        <w:adjustRightInd w:val="0"/>
        <w:spacing w:line="440" w:lineRule="exact"/>
        <w:ind w:firstLine="480" w:firstLineChars="200"/>
        <w:rPr>
          <w:color w:val="000000" w:themeColor="text1"/>
          <w:sz w:val="24"/>
        </w:rPr>
      </w:pPr>
      <w:r>
        <w:rPr>
          <w:rFonts w:hint="eastAsia"/>
          <w:color w:val="000000" w:themeColor="text1"/>
          <w:sz w:val="24"/>
        </w:rPr>
        <w:t>（三）环境风险目标的确定</w:t>
      </w:r>
    </w:p>
    <w:p>
      <w:pPr>
        <w:spacing w:line="440" w:lineRule="exact"/>
        <w:ind w:firstLine="480" w:firstLineChars="200"/>
        <w:rPr>
          <w:color w:val="000000" w:themeColor="text1"/>
          <w:kern w:val="0"/>
          <w:sz w:val="24"/>
        </w:rPr>
      </w:pPr>
      <w:r>
        <w:rPr>
          <w:rFonts w:hint="eastAsia"/>
          <w:color w:val="000000" w:themeColor="text1"/>
          <w:kern w:val="0"/>
          <w:sz w:val="24"/>
        </w:rPr>
        <w:t>依据突发环境事件对环境风险源和环境敏感点的要求，结合环境风险识别，企业环境风险目标为：</w:t>
      </w:r>
    </w:p>
    <w:p>
      <w:pPr>
        <w:topLinePunct/>
        <w:adjustRightInd w:val="0"/>
        <w:snapToGrid w:val="0"/>
        <w:spacing w:line="440" w:lineRule="exact"/>
        <w:ind w:firstLine="480" w:firstLineChars="200"/>
        <w:jc w:val="left"/>
        <w:rPr>
          <w:rFonts w:hAnsi="宋体"/>
          <w:snapToGrid w:val="0"/>
          <w:color w:val="FF0000"/>
          <w:kern w:val="0"/>
          <w:sz w:val="24"/>
        </w:rPr>
      </w:pPr>
      <w:r>
        <w:rPr>
          <w:rFonts w:hint="eastAsia"/>
          <w:snapToGrid w:val="0"/>
          <w:color w:val="FF0000"/>
          <w:kern w:val="0"/>
          <w:sz w:val="24"/>
        </w:rPr>
        <w:t>1</w:t>
      </w:r>
      <w:r>
        <w:rPr>
          <w:rFonts w:hAnsi="宋体"/>
          <w:snapToGrid w:val="0"/>
          <w:color w:val="FF0000"/>
          <w:kern w:val="0"/>
          <w:sz w:val="24"/>
        </w:rPr>
        <w:t>号目标：</w:t>
      </w:r>
      <w:r>
        <w:rPr>
          <w:rFonts w:hint="eastAsia" w:hAnsi="宋体"/>
          <w:snapToGrid w:val="0"/>
          <w:color w:val="FF0000"/>
          <w:kern w:val="0"/>
          <w:sz w:val="24"/>
        </w:rPr>
        <w:t>储罐区；</w:t>
      </w:r>
    </w:p>
    <w:p>
      <w:pPr>
        <w:topLinePunct/>
        <w:adjustRightInd w:val="0"/>
        <w:snapToGrid w:val="0"/>
        <w:spacing w:line="440" w:lineRule="exact"/>
        <w:ind w:firstLine="480" w:firstLineChars="200"/>
        <w:jc w:val="left"/>
        <w:rPr>
          <w:rFonts w:hAnsi="宋体"/>
          <w:snapToGrid w:val="0"/>
          <w:color w:val="FF0000"/>
          <w:kern w:val="0"/>
          <w:sz w:val="24"/>
        </w:rPr>
      </w:pPr>
      <w:r>
        <w:rPr>
          <w:rFonts w:hint="eastAsia" w:hAnsi="宋体"/>
          <w:snapToGrid w:val="0"/>
          <w:color w:val="FF0000"/>
          <w:kern w:val="0"/>
          <w:sz w:val="24"/>
        </w:rPr>
        <w:t>2号目标：加油区。</w:t>
      </w:r>
    </w:p>
    <w:p>
      <w:pPr>
        <w:topLinePunct/>
        <w:adjustRightInd w:val="0"/>
        <w:snapToGrid w:val="0"/>
        <w:spacing w:line="440" w:lineRule="exact"/>
        <w:ind w:firstLine="480" w:firstLineChars="200"/>
        <w:jc w:val="left"/>
        <w:rPr>
          <w:color w:val="000000" w:themeColor="text1"/>
          <w:sz w:val="24"/>
        </w:rPr>
      </w:pPr>
      <w:r>
        <w:rPr>
          <w:rFonts w:hint="eastAsia"/>
          <w:color w:val="000000" w:themeColor="text1"/>
          <w:sz w:val="24"/>
        </w:rPr>
        <w:t>（四）应急救援组织体系</w:t>
      </w:r>
    </w:p>
    <w:p>
      <w:pPr>
        <w:topLinePunct/>
        <w:adjustRightInd w:val="0"/>
        <w:spacing w:line="440" w:lineRule="exact"/>
        <w:ind w:firstLine="480" w:firstLineChars="200"/>
        <w:rPr>
          <w:rFonts w:hAnsi="宋体"/>
          <w:bCs/>
          <w:color w:val="000000" w:themeColor="text1"/>
          <w:sz w:val="24"/>
        </w:rPr>
      </w:pPr>
      <w:r>
        <w:rPr>
          <w:rFonts w:hint="eastAsia" w:hAnsi="宋体"/>
          <w:bCs/>
          <w:color w:val="000000" w:themeColor="text1"/>
          <w:sz w:val="24"/>
        </w:rPr>
        <w:t>企业</w:t>
      </w:r>
      <w:r>
        <w:rPr>
          <w:rFonts w:hint="eastAsia"/>
          <w:color w:val="000000" w:themeColor="text1"/>
          <w:sz w:val="24"/>
        </w:rPr>
        <w:t>应急组织体系由应急指挥部</w:t>
      </w:r>
      <w:r>
        <w:rPr>
          <w:rFonts w:hint="eastAsia" w:hAnsi="宋体"/>
          <w:bCs/>
          <w:color w:val="000000" w:themeColor="text1"/>
          <w:sz w:val="24"/>
        </w:rPr>
        <w:t>、应急工作小组和专家组组成。应急指挥部由</w:t>
      </w:r>
      <w:r>
        <w:rPr>
          <w:rFonts w:hint="eastAsia" w:hAnsi="宋体"/>
          <w:bCs/>
          <w:color w:val="FF0000"/>
          <w:sz w:val="24"/>
        </w:rPr>
        <w:t>站长、综合管理员、设备管理员和加油员</w:t>
      </w:r>
      <w:r>
        <w:rPr>
          <w:rFonts w:hint="eastAsia" w:hAnsi="宋体"/>
          <w:bCs/>
          <w:color w:val="000000" w:themeColor="text1"/>
          <w:sz w:val="24"/>
        </w:rPr>
        <w:t>组成；</w:t>
      </w:r>
      <w:r>
        <w:rPr>
          <w:rFonts w:hint="eastAsia"/>
          <w:color w:val="000000" w:themeColor="text1"/>
          <w:sz w:val="24"/>
          <w:szCs w:val="24"/>
        </w:rPr>
        <w:t>应急处置小组分为</w:t>
      </w:r>
      <w:r>
        <w:rPr>
          <w:color w:val="000000" w:themeColor="text1"/>
          <w:sz w:val="24"/>
          <w:szCs w:val="24"/>
        </w:rPr>
        <w:t>专家组、</w:t>
      </w:r>
      <w:r>
        <w:rPr>
          <w:rFonts w:hint="eastAsia"/>
          <w:color w:val="000000" w:themeColor="text1"/>
          <w:sz w:val="24"/>
          <w:szCs w:val="24"/>
        </w:rPr>
        <w:t>应急监测</w:t>
      </w:r>
      <w:r>
        <w:rPr>
          <w:color w:val="000000" w:themeColor="text1"/>
          <w:sz w:val="24"/>
          <w:szCs w:val="24"/>
        </w:rPr>
        <w:t>组、</w:t>
      </w:r>
      <w:r>
        <w:rPr>
          <w:rFonts w:hint="eastAsia"/>
          <w:color w:val="000000" w:themeColor="text1"/>
          <w:sz w:val="24"/>
          <w:szCs w:val="24"/>
        </w:rPr>
        <w:t>医疗救护</w:t>
      </w:r>
      <w:r>
        <w:rPr>
          <w:color w:val="000000" w:themeColor="text1"/>
          <w:sz w:val="24"/>
          <w:szCs w:val="24"/>
        </w:rPr>
        <w:t>组、</w:t>
      </w:r>
      <w:r>
        <w:rPr>
          <w:rFonts w:hint="eastAsia"/>
          <w:color w:val="000000" w:themeColor="text1"/>
          <w:sz w:val="24"/>
          <w:szCs w:val="24"/>
        </w:rPr>
        <w:t>污染处置</w:t>
      </w:r>
      <w:r>
        <w:rPr>
          <w:color w:val="000000" w:themeColor="text1"/>
          <w:sz w:val="24"/>
          <w:szCs w:val="24"/>
        </w:rPr>
        <w:t>组、</w:t>
      </w:r>
      <w:r>
        <w:rPr>
          <w:rFonts w:hint="eastAsia"/>
          <w:color w:val="000000" w:themeColor="text1"/>
          <w:sz w:val="24"/>
          <w:szCs w:val="24"/>
        </w:rPr>
        <w:t>应急保障组、新闻宣传组和社会稳定组。</w:t>
      </w:r>
      <w:r>
        <w:rPr>
          <w:rFonts w:hint="eastAsia" w:hAnsi="宋体"/>
          <w:bCs/>
          <w:color w:val="000000" w:themeColor="text1"/>
          <w:sz w:val="24"/>
        </w:rPr>
        <w:t>上述应急小组在应急指挥部的领导下，在发生车间级和公司级事故时为事故应对的主体。在发生社会级事故时，进行事故的先期处置。在启动区突发环境事件应急预案时，上述小组服从县突发环境事件应急指挥部相应应急小组指挥，开展应急处置工作。</w:t>
      </w:r>
    </w:p>
    <w:p>
      <w:pPr>
        <w:topLinePunct/>
        <w:adjustRightInd w:val="0"/>
        <w:spacing w:line="440" w:lineRule="exact"/>
        <w:ind w:firstLine="480" w:firstLineChars="200"/>
        <w:rPr>
          <w:color w:val="000000" w:themeColor="text1"/>
          <w:sz w:val="24"/>
        </w:rPr>
      </w:pPr>
      <w:r>
        <w:rPr>
          <w:rFonts w:hint="eastAsia"/>
          <w:color w:val="000000" w:themeColor="text1"/>
          <w:sz w:val="24"/>
        </w:rPr>
        <w:t>（五）预警分级</w:t>
      </w:r>
    </w:p>
    <w:p>
      <w:pPr>
        <w:spacing w:line="440" w:lineRule="exact"/>
        <w:ind w:firstLine="480" w:firstLineChars="200"/>
        <w:rPr>
          <w:bCs/>
          <w:color w:val="000000" w:themeColor="text1"/>
          <w:sz w:val="24"/>
        </w:rPr>
      </w:pPr>
      <w:r>
        <w:rPr>
          <w:rFonts w:hint="eastAsia"/>
          <w:bCs/>
          <w:color w:val="000000" w:themeColor="text1"/>
          <w:sz w:val="24"/>
        </w:rPr>
        <w:t>根据导致事故发生的原因与可能会发生的突发环境事件的趋势，对突发环境事件预警进行等级划分，突发环境事件的预警级别由低到高分为III级预警、II级预警和I级预警，分别用黄色、橙色、红色表示。根据事态的发展情况和采取措施的效果，预警可以升级、降级或解除。</w:t>
      </w:r>
    </w:p>
    <w:p>
      <w:pPr>
        <w:spacing w:line="440" w:lineRule="exact"/>
        <w:ind w:firstLine="480" w:firstLineChars="200"/>
        <w:rPr>
          <w:bCs/>
          <w:color w:val="000000" w:themeColor="text1"/>
          <w:sz w:val="24"/>
        </w:rPr>
      </w:pPr>
      <w:r>
        <w:rPr>
          <w:rFonts w:hint="eastAsia"/>
          <w:bCs/>
          <w:color w:val="000000" w:themeColor="text1"/>
          <w:sz w:val="24"/>
        </w:rPr>
        <w:t>I级预警需要应急指挥部总指挥授权相关人员或应急总指挥直接向</w:t>
      </w:r>
      <w:r>
        <w:rPr>
          <w:rFonts w:hint="eastAsia" w:hAnsi="宋体"/>
          <w:bCs/>
          <w:color w:val="000000" w:themeColor="text1"/>
          <w:sz w:val="24"/>
        </w:rPr>
        <w:t>区环境保护局</w:t>
      </w:r>
      <w:r>
        <w:rPr>
          <w:rFonts w:hint="eastAsia"/>
          <w:bCs/>
          <w:color w:val="000000" w:themeColor="text1"/>
          <w:sz w:val="24"/>
        </w:rPr>
        <w:t>等部门进行汇报。</w:t>
      </w:r>
    </w:p>
    <w:p>
      <w:pPr>
        <w:topLinePunct/>
        <w:adjustRightInd w:val="0"/>
        <w:spacing w:line="440" w:lineRule="exact"/>
        <w:ind w:firstLine="480" w:firstLineChars="200"/>
        <w:rPr>
          <w:color w:val="000000" w:themeColor="text1"/>
          <w:sz w:val="24"/>
        </w:rPr>
      </w:pPr>
      <w:r>
        <w:rPr>
          <w:rFonts w:hint="eastAsia"/>
          <w:color w:val="000000" w:themeColor="text1"/>
          <w:sz w:val="24"/>
        </w:rPr>
        <w:t>（六）信息报告及处置</w:t>
      </w:r>
    </w:p>
    <w:p>
      <w:pPr>
        <w:spacing w:line="440" w:lineRule="exact"/>
        <w:ind w:firstLine="480" w:firstLineChars="200"/>
        <w:rPr>
          <w:color w:val="000000" w:themeColor="text1"/>
          <w:sz w:val="24"/>
        </w:rPr>
      </w:pPr>
      <w:r>
        <w:rPr>
          <w:rFonts w:hint="eastAsia" w:hAnsi="宋体"/>
          <w:color w:val="FF0000"/>
          <w:sz w:val="24"/>
          <w:szCs w:val="24"/>
          <w:lang w:eastAsia="zh-CN"/>
        </w:rPr>
        <w:t>中国石化销售股份有限公司江西南昌红谷滩石油分公司世纪星加油站</w:t>
      </w:r>
      <w:r>
        <w:rPr>
          <w:color w:val="000000" w:themeColor="text1"/>
          <w:sz w:val="24"/>
        </w:rPr>
        <w:t>突发环境事件责任人以及负有监管责任的人员发现突发环境事件后，立即向应急指挥</w:t>
      </w:r>
      <w:r>
        <w:rPr>
          <w:rFonts w:hint="eastAsia"/>
          <w:color w:val="000000" w:themeColor="text1"/>
          <w:sz w:val="24"/>
        </w:rPr>
        <w:t>部办公室</w:t>
      </w:r>
      <w:r>
        <w:rPr>
          <w:color w:val="000000" w:themeColor="text1"/>
          <w:sz w:val="24"/>
        </w:rPr>
        <w:t>报告，指挥</w:t>
      </w:r>
      <w:r>
        <w:rPr>
          <w:rFonts w:hint="eastAsia"/>
          <w:color w:val="000000" w:themeColor="text1"/>
          <w:sz w:val="24"/>
        </w:rPr>
        <w:t>部办公室</w:t>
      </w:r>
      <w:r>
        <w:rPr>
          <w:color w:val="000000" w:themeColor="text1"/>
          <w:sz w:val="24"/>
        </w:rPr>
        <w:t>接到信息后立即组织进行现场调查</w:t>
      </w:r>
      <w:r>
        <w:rPr>
          <w:rFonts w:hint="eastAsia"/>
          <w:color w:val="000000" w:themeColor="text1"/>
          <w:sz w:val="24"/>
        </w:rPr>
        <w:t>、事故判别和应急处置等工作</w:t>
      </w:r>
      <w:r>
        <w:rPr>
          <w:color w:val="000000" w:themeColor="text1"/>
          <w:sz w:val="24"/>
        </w:rPr>
        <w:t>。</w:t>
      </w:r>
      <w:r>
        <w:rPr>
          <w:rFonts w:hint="eastAsia"/>
          <w:color w:val="000000" w:themeColor="text1"/>
          <w:sz w:val="24"/>
        </w:rPr>
        <w:t>当事故可能影响到厂区外部或厂区救援能力不足时，应急指挥部总指挥或副总指挥于半小时内向</w:t>
      </w:r>
      <w:r>
        <w:rPr>
          <w:rFonts w:hint="eastAsia" w:hAnsi="宋体"/>
          <w:bCs/>
          <w:color w:val="000000" w:themeColor="text1"/>
          <w:sz w:val="24"/>
        </w:rPr>
        <w:t>区环境保护局</w:t>
      </w:r>
      <w:r>
        <w:rPr>
          <w:rFonts w:hint="eastAsia"/>
          <w:color w:val="FF0000"/>
          <w:sz w:val="24"/>
        </w:rPr>
        <w:t>上报</w:t>
      </w:r>
      <w:r>
        <w:rPr>
          <w:rFonts w:hint="eastAsia"/>
          <w:color w:val="000000" w:themeColor="text1"/>
          <w:sz w:val="24"/>
        </w:rPr>
        <w:t>。当启动区突发环境事件应急预案或更高级别预案时，企业应急组织服从上级突发环境事件应急指挥部指挥。</w:t>
      </w:r>
    </w:p>
    <w:p>
      <w:pPr>
        <w:outlineLvl w:val="0"/>
        <w:rPr>
          <w:rFonts w:eastAsia="楷体"/>
          <w:b/>
          <w:snapToGrid w:val="0"/>
          <w:color w:val="000000" w:themeColor="text1"/>
          <w:spacing w:val="4"/>
          <w:kern w:val="0"/>
          <w:sz w:val="30"/>
          <w:szCs w:val="32"/>
        </w:rPr>
      </w:pPr>
      <w:r>
        <w:rPr>
          <w:rFonts w:hint="eastAsia" w:eastAsia="楷体"/>
          <w:b/>
          <w:snapToGrid w:val="0"/>
          <w:color w:val="000000" w:themeColor="text1"/>
          <w:spacing w:val="4"/>
          <w:kern w:val="0"/>
          <w:sz w:val="30"/>
          <w:szCs w:val="32"/>
        </w:rPr>
        <w:t>四、征求意见及采纳情况说明</w:t>
      </w:r>
    </w:p>
    <w:p>
      <w:pPr>
        <w:spacing w:line="440" w:lineRule="exact"/>
        <w:ind w:firstLine="480" w:firstLineChars="200"/>
        <w:rPr>
          <w:color w:val="000000" w:themeColor="text1"/>
          <w:sz w:val="24"/>
        </w:rPr>
      </w:pPr>
      <w:r>
        <w:rPr>
          <w:rFonts w:hint="eastAsia"/>
          <w:color w:val="000000" w:themeColor="text1"/>
          <w:sz w:val="24"/>
        </w:rPr>
        <w:t>在《</w:t>
      </w:r>
      <w:r>
        <w:rPr>
          <w:rFonts w:hint="eastAsia" w:hAnsi="宋体"/>
          <w:color w:val="FF0000"/>
          <w:sz w:val="24"/>
          <w:szCs w:val="24"/>
          <w:lang w:eastAsia="zh-CN"/>
        </w:rPr>
        <w:t>中国石化销售股份有限公司江西南昌红谷滩石油分公司世纪星加油站</w:t>
      </w:r>
      <w:r>
        <w:rPr>
          <w:rFonts w:hint="eastAsia"/>
          <w:color w:val="000000" w:themeColor="text1"/>
          <w:sz w:val="24"/>
        </w:rPr>
        <w:t>突发环境事件应急预案》编制过程中，</w:t>
      </w:r>
      <w:r>
        <w:rPr>
          <w:rFonts w:hint="eastAsia" w:hAnsi="宋体"/>
          <w:color w:val="FF0000"/>
          <w:sz w:val="24"/>
          <w:szCs w:val="24"/>
          <w:lang w:eastAsia="zh-CN"/>
        </w:rPr>
        <w:t>中国石化销售股份有限公司江西南昌红谷滩石油分公司世纪星加油站</w:t>
      </w:r>
      <w:r>
        <w:rPr>
          <w:rFonts w:hint="eastAsia"/>
          <w:color w:val="000000" w:themeColor="text1"/>
          <w:sz w:val="24"/>
        </w:rPr>
        <w:t>对内征求了企业主要负责人、技术人员及作业员工对应急措施可行性的意见。</w:t>
      </w:r>
    </w:p>
    <w:p>
      <w:pPr>
        <w:spacing w:line="440" w:lineRule="exact"/>
        <w:jc w:val="center"/>
        <w:rPr>
          <w:rFonts w:hAnsi="宋体"/>
          <w:b/>
          <w:color w:val="000000" w:themeColor="text1"/>
        </w:rPr>
      </w:pPr>
      <w:r>
        <w:rPr>
          <w:rFonts w:hAnsi="宋体"/>
          <w:b/>
          <w:color w:val="000000" w:themeColor="text1"/>
        </w:rPr>
        <w:t>表</w:t>
      </w:r>
      <w:r>
        <w:rPr>
          <w:b/>
          <w:color w:val="000000" w:themeColor="text1"/>
        </w:rPr>
        <w:t xml:space="preserve">1  </w:t>
      </w:r>
      <w:r>
        <w:rPr>
          <w:rFonts w:hAnsi="宋体"/>
          <w:b/>
          <w:color w:val="000000" w:themeColor="text1"/>
        </w:rPr>
        <w:t>突发环境事件应急预案对内征求意见人员名单</w:t>
      </w:r>
    </w:p>
    <w:tbl>
      <w:tblPr>
        <w:tblStyle w:val="12"/>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jc w:val="center"/>
        </w:trPr>
        <w:tc>
          <w:tcPr>
            <w:tcW w:w="2130" w:type="dxa"/>
            <w:vAlign w:val="center"/>
          </w:tcPr>
          <w:p>
            <w:pPr>
              <w:spacing w:line="320" w:lineRule="exact"/>
              <w:jc w:val="center"/>
              <w:rPr>
                <w:color w:val="000000" w:themeColor="text1"/>
                <w:sz w:val="21"/>
                <w:szCs w:val="21"/>
              </w:rPr>
            </w:pPr>
            <w:r>
              <w:rPr>
                <w:rFonts w:hint="eastAsia" w:cs="宋体"/>
                <w:color w:val="000000" w:themeColor="text1"/>
                <w:sz w:val="21"/>
                <w:szCs w:val="21"/>
              </w:rPr>
              <w:t>所属部门</w:t>
            </w:r>
          </w:p>
        </w:tc>
        <w:tc>
          <w:tcPr>
            <w:tcW w:w="2130" w:type="dxa"/>
            <w:vAlign w:val="center"/>
          </w:tcPr>
          <w:p>
            <w:pPr>
              <w:spacing w:line="320" w:lineRule="exact"/>
              <w:jc w:val="center"/>
              <w:rPr>
                <w:color w:val="000000" w:themeColor="text1"/>
                <w:sz w:val="21"/>
                <w:szCs w:val="21"/>
              </w:rPr>
            </w:pPr>
            <w:r>
              <w:rPr>
                <w:rFonts w:hint="eastAsia" w:cs="宋体"/>
                <w:color w:val="000000" w:themeColor="text1"/>
                <w:sz w:val="21"/>
                <w:szCs w:val="21"/>
              </w:rPr>
              <w:t>职务</w:t>
            </w:r>
          </w:p>
        </w:tc>
        <w:tc>
          <w:tcPr>
            <w:tcW w:w="2131" w:type="dxa"/>
            <w:vAlign w:val="center"/>
          </w:tcPr>
          <w:p>
            <w:pPr>
              <w:spacing w:line="320" w:lineRule="exact"/>
              <w:jc w:val="center"/>
              <w:rPr>
                <w:color w:val="000000" w:themeColor="text1"/>
                <w:sz w:val="21"/>
                <w:szCs w:val="21"/>
              </w:rPr>
            </w:pPr>
            <w:r>
              <w:rPr>
                <w:rFonts w:hint="eastAsia" w:cs="宋体"/>
                <w:color w:val="000000" w:themeColor="text1"/>
                <w:sz w:val="21"/>
                <w:szCs w:val="21"/>
              </w:rPr>
              <w:t>姓名</w:t>
            </w:r>
          </w:p>
        </w:tc>
        <w:tc>
          <w:tcPr>
            <w:tcW w:w="2131" w:type="dxa"/>
            <w:vAlign w:val="center"/>
          </w:tcPr>
          <w:p>
            <w:pPr>
              <w:spacing w:line="320" w:lineRule="exact"/>
              <w:jc w:val="center"/>
              <w:rPr>
                <w:color w:val="000000" w:themeColor="text1"/>
                <w:sz w:val="21"/>
                <w:szCs w:val="21"/>
              </w:rPr>
            </w:pPr>
            <w:r>
              <w:rPr>
                <w:rFonts w:hint="eastAsia" w:cs="宋体"/>
                <w:color w:val="000000" w:themeColor="text1"/>
                <w:sz w:val="21"/>
                <w:szCs w:val="21"/>
              </w:rPr>
              <w:t>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jc w:val="center"/>
        </w:trPr>
        <w:tc>
          <w:tcPr>
            <w:tcW w:w="2130" w:type="dxa"/>
          </w:tcPr>
          <w:p>
            <w:pPr>
              <w:jc w:val="center"/>
              <w:rPr>
                <w:color w:val="000000" w:themeColor="text1"/>
                <w:sz w:val="21"/>
                <w:szCs w:val="21"/>
              </w:rPr>
            </w:pPr>
            <w:r>
              <w:rPr>
                <w:rFonts w:hint="eastAsia"/>
                <w:color w:val="000000" w:themeColor="text1"/>
                <w:sz w:val="21"/>
                <w:szCs w:val="21"/>
              </w:rPr>
              <w:t>——</w:t>
            </w:r>
          </w:p>
        </w:tc>
        <w:tc>
          <w:tcPr>
            <w:tcW w:w="2130" w:type="dxa"/>
            <w:vAlign w:val="center"/>
          </w:tcPr>
          <w:p>
            <w:pPr>
              <w:spacing w:line="320" w:lineRule="exact"/>
              <w:jc w:val="center"/>
              <w:rPr>
                <w:color w:val="FF0000"/>
                <w:sz w:val="21"/>
                <w:szCs w:val="21"/>
              </w:rPr>
            </w:pPr>
            <w:r>
              <w:rPr>
                <w:rFonts w:hint="eastAsia"/>
                <w:color w:val="FF0000"/>
                <w:sz w:val="21"/>
                <w:szCs w:val="21"/>
              </w:rPr>
              <w:t>站长</w:t>
            </w:r>
          </w:p>
        </w:tc>
        <w:tc>
          <w:tcPr>
            <w:tcW w:w="2131" w:type="dxa"/>
            <w:vAlign w:val="center"/>
          </w:tcPr>
          <w:p>
            <w:pPr>
              <w:spacing w:line="320" w:lineRule="exact"/>
              <w:jc w:val="center"/>
              <w:rPr>
                <w:rFonts w:hint="eastAsia" w:eastAsia="宋体"/>
                <w:color w:val="FF0000"/>
                <w:sz w:val="21"/>
                <w:szCs w:val="21"/>
                <w:lang w:eastAsia="zh-CN"/>
              </w:rPr>
            </w:pPr>
            <w:r>
              <w:rPr>
                <w:rFonts w:hint="eastAsia"/>
                <w:color w:val="FF0000"/>
                <w:sz w:val="21"/>
                <w:szCs w:val="21"/>
                <w:lang w:eastAsia="zh-CN"/>
              </w:rPr>
              <w:t>熊雄</w:t>
            </w:r>
          </w:p>
        </w:tc>
        <w:tc>
          <w:tcPr>
            <w:tcW w:w="2131" w:type="dxa"/>
            <w:vAlign w:val="center"/>
          </w:tcPr>
          <w:p>
            <w:pPr>
              <w:spacing w:line="320" w:lineRule="exact"/>
              <w:jc w:val="center"/>
              <w:rPr>
                <w:rFonts w:hint="default" w:eastAsia="宋体"/>
                <w:color w:val="FF0000"/>
                <w:sz w:val="21"/>
                <w:szCs w:val="21"/>
                <w:lang w:val="en-US" w:eastAsia="zh-CN"/>
              </w:rPr>
            </w:pPr>
            <w:r>
              <w:rPr>
                <w:rFonts w:hint="eastAsia"/>
                <w:color w:val="FF0000"/>
                <w:sz w:val="21"/>
                <w:szCs w:val="21"/>
              </w:rPr>
              <w:t>18807099122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jc w:val="center"/>
        </w:trPr>
        <w:tc>
          <w:tcPr>
            <w:tcW w:w="2130" w:type="dxa"/>
          </w:tcPr>
          <w:p>
            <w:pPr>
              <w:jc w:val="center"/>
              <w:rPr>
                <w:color w:val="000000" w:themeColor="text1"/>
                <w:sz w:val="21"/>
                <w:szCs w:val="21"/>
              </w:rPr>
            </w:pPr>
            <w:r>
              <w:rPr>
                <w:rFonts w:hint="eastAsia"/>
                <w:color w:val="000000" w:themeColor="text1"/>
                <w:sz w:val="21"/>
                <w:szCs w:val="21"/>
              </w:rPr>
              <w:t>管理部</w:t>
            </w:r>
          </w:p>
        </w:tc>
        <w:tc>
          <w:tcPr>
            <w:tcW w:w="2130" w:type="dxa"/>
            <w:vAlign w:val="center"/>
          </w:tcPr>
          <w:p>
            <w:pPr>
              <w:jc w:val="center"/>
              <w:rPr>
                <w:rFonts w:ascii="宋体" w:hAnsi="宋体" w:cs="宋体"/>
                <w:color w:val="FF0000"/>
                <w:sz w:val="21"/>
                <w:szCs w:val="21"/>
              </w:rPr>
            </w:pPr>
            <w:r>
              <w:rPr>
                <w:rFonts w:hint="eastAsia"/>
                <w:color w:val="FF0000"/>
                <w:sz w:val="21"/>
                <w:szCs w:val="21"/>
              </w:rPr>
              <w:t>综合管理员</w:t>
            </w:r>
          </w:p>
        </w:tc>
        <w:tc>
          <w:tcPr>
            <w:tcW w:w="2131" w:type="dxa"/>
            <w:vAlign w:val="center"/>
          </w:tcPr>
          <w:p>
            <w:pPr>
              <w:jc w:val="center"/>
              <w:rPr>
                <w:rFonts w:hint="default" w:ascii="宋体" w:hAnsi="宋体" w:eastAsia="宋体" w:cs="宋体"/>
                <w:color w:val="FF0000"/>
                <w:sz w:val="21"/>
                <w:szCs w:val="21"/>
                <w:lang w:val="en-US" w:eastAsia="zh-CN"/>
              </w:rPr>
            </w:pPr>
            <w:r>
              <w:rPr>
                <w:rFonts w:hint="eastAsia"/>
                <w:color w:val="FF0000"/>
                <w:sz w:val="21"/>
                <w:szCs w:val="21"/>
              </w:rPr>
              <w:t>熊海媛</w:t>
            </w:r>
          </w:p>
        </w:tc>
        <w:tc>
          <w:tcPr>
            <w:tcW w:w="2131" w:type="dxa"/>
            <w:vAlign w:val="center"/>
          </w:tcPr>
          <w:p>
            <w:pPr>
              <w:spacing w:line="320" w:lineRule="exact"/>
              <w:jc w:val="center"/>
              <w:rPr>
                <w:rFonts w:hint="default" w:eastAsia="宋体"/>
                <w:color w:val="FF0000"/>
                <w:sz w:val="21"/>
                <w:szCs w:val="21"/>
                <w:lang w:val="en-US" w:eastAsia="zh-CN"/>
              </w:rPr>
            </w:pPr>
            <w:r>
              <w:rPr>
                <w:rFonts w:hint="eastAsia"/>
                <w:color w:val="FF0000"/>
                <w:sz w:val="21"/>
                <w:szCs w:val="21"/>
              </w:rPr>
              <w:t>18270832518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jc w:val="center"/>
        </w:trPr>
        <w:tc>
          <w:tcPr>
            <w:tcW w:w="2130" w:type="dxa"/>
          </w:tcPr>
          <w:p>
            <w:pPr>
              <w:jc w:val="center"/>
              <w:rPr>
                <w:color w:val="000000" w:themeColor="text1"/>
                <w:sz w:val="21"/>
                <w:szCs w:val="21"/>
              </w:rPr>
            </w:pPr>
            <w:r>
              <w:rPr>
                <w:rFonts w:hint="eastAsia"/>
                <w:color w:val="000000" w:themeColor="text1"/>
                <w:sz w:val="21"/>
                <w:szCs w:val="21"/>
              </w:rPr>
              <w:t>管理部</w:t>
            </w:r>
          </w:p>
        </w:tc>
        <w:tc>
          <w:tcPr>
            <w:tcW w:w="2130" w:type="dxa"/>
            <w:vAlign w:val="center"/>
          </w:tcPr>
          <w:p>
            <w:pPr>
              <w:spacing w:line="320" w:lineRule="exact"/>
              <w:jc w:val="center"/>
              <w:rPr>
                <w:rFonts w:hint="eastAsia" w:ascii="宋体" w:hAnsi="宋体" w:eastAsia="宋体" w:cs="宋体"/>
                <w:color w:val="FF0000"/>
                <w:sz w:val="21"/>
                <w:szCs w:val="21"/>
                <w:lang w:val="en-US" w:eastAsia="zh-CN"/>
              </w:rPr>
            </w:pPr>
            <w:r>
              <w:rPr>
                <w:rFonts w:hint="eastAsia" w:ascii="宋体" w:hAnsi="宋体" w:cs="宋体"/>
                <w:color w:val="FF0000"/>
                <w:sz w:val="21"/>
                <w:szCs w:val="21"/>
                <w:lang w:val="en-US" w:eastAsia="zh-CN"/>
              </w:rPr>
              <w:t>设备管理员</w:t>
            </w:r>
          </w:p>
        </w:tc>
        <w:tc>
          <w:tcPr>
            <w:tcW w:w="2131" w:type="dxa"/>
            <w:vAlign w:val="center"/>
          </w:tcPr>
          <w:p>
            <w:pPr>
              <w:spacing w:line="320" w:lineRule="exact"/>
              <w:jc w:val="center"/>
              <w:rPr>
                <w:rFonts w:hint="eastAsia" w:ascii="宋体" w:hAnsi="宋体" w:eastAsia="宋体" w:cs="宋体"/>
                <w:color w:val="FF0000"/>
                <w:sz w:val="21"/>
                <w:szCs w:val="21"/>
                <w:lang w:eastAsia="zh-CN"/>
              </w:rPr>
            </w:pPr>
            <w:r>
              <w:rPr>
                <w:rFonts w:hint="eastAsia" w:ascii="宋体" w:hAnsi="宋体" w:cs="宋体"/>
                <w:color w:val="FF0000"/>
                <w:lang w:eastAsia="zh-CN"/>
              </w:rPr>
              <w:t>李荣</w:t>
            </w:r>
          </w:p>
        </w:tc>
        <w:tc>
          <w:tcPr>
            <w:tcW w:w="2131" w:type="dxa"/>
            <w:vAlign w:val="center"/>
          </w:tcPr>
          <w:p>
            <w:pPr>
              <w:spacing w:line="320" w:lineRule="exact"/>
              <w:jc w:val="center"/>
              <w:rPr>
                <w:rFonts w:hint="default" w:eastAsia="宋体"/>
                <w:color w:val="FF0000"/>
                <w:sz w:val="21"/>
                <w:szCs w:val="21"/>
                <w:lang w:val="en-US" w:eastAsia="zh-CN"/>
              </w:rPr>
            </w:pPr>
            <w:r>
              <w:rPr>
                <w:rFonts w:hint="eastAsia"/>
                <w:color w:val="FF0000"/>
                <w:lang w:val="en-US" w:eastAsia="zh-CN"/>
              </w:rPr>
              <w:t>13979192613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jc w:val="center"/>
        </w:trPr>
        <w:tc>
          <w:tcPr>
            <w:tcW w:w="2130" w:type="dxa"/>
          </w:tcPr>
          <w:p>
            <w:pPr>
              <w:jc w:val="center"/>
              <w:rPr>
                <w:color w:val="000000" w:themeColor="text1"/>
                <w:sz w:val="21"/>
                <w:szCs w:val="21"/>
              </w:rPr>
            </w:pPr>
            <w:r>
              <w:rPr>
                <w:rFonts w:hint="eastAsia"/>
                <w:color w:val="000000" w:themeColor="text1"/>
                <w:sz w:val="21"/>
                <w:szCs w:val="21"/>
              </w:rPr>
              <w:t>生产部</w:t>
            </w:r>
          </w:p>
        </w:tc>
        <w:tc>
          <w:tcPr>
            <w:tcW w:w="2130" w:type="dxa"/>
            <w:vAlign w:val="center"/>
          </w:tcPr>
          <w:p>
            <w:pPr>
              <w:spacing w:line="320" w:lineRule="exact"/>
              <w:jc w:val="center"/>
              <w:rPr>
                <w:rFonts w:hint="eastAsia" w:hAnsi="宋体" w:eastAsia="宋体"/>
                <w:color w:val="FF0000"/>
                <w:sz w:val="21"/>
                <w:szCs w:val="21"/>
                <w:lang w:eastAsia="zh-CN"/>
              </w:rPr>
            </w:pPr>
            <w:r>
              <w:rPr>
                <w:rFonts w:hint="eastAsia" w:hAnsi="宋体"/>
                <w:color w:val="FF0000"/>
                <w:sz w:val="21"/>
                <w:szCs w:val="21"/>
              </w:rPr>
              <w:t>加油员</w:t>
            </w:r>
          </w:p>
        </w:tc>
        <w:tc>
          <w:tcPr>
            <w:tcW w:w="2131" w:type="dxa"/>
            <w:vAlign w:val="center"/>
          </w:tcPr>
          <w:p>
            <w:pPr>
              <w:spacing w:line="320" w:lineRule="exact"/>
              <w:jc w:val="center"/>
              <w:rPr>
                <w:rFonts w:hint="eastAsia" w:ascii="宋体" w:hAnsi="宋体" w:eastAsia="宋体" w:cs="宋体"/>
                <w:color w:val="FF0000"/>
                <w:sz w:val="21"/>
                <w:szCs w:val="21"/>
                <w:lang w:eastAsia="zh-CN"/>
              </w:rPr>
            </w:pPr>
            <w:r>
              <w:rPr>
                <w:rFonts w:hint="eastAsia"/>
                <w:color w:val="FF0000"/>
                <w:sz w:val="21"/>
                <w:szCs w:val="21"/>
              </w:rPr>
              <w:t>张徐华</w:t>
            </w:r>
          </w:p>
        </w:tc>
        <w:tc>
          <w:tcPr>
            <w:tcW w:w="2131" w:type="dxa"/>
            <w:vAlign w:val="center"/>
          </w:tcPr>
          <w:p>
            <w:pPr>
              <w:spacing w:line="320" w:lineRule="exact"/>
              <w:jc w:val="center"/>
              <w:rPr>
                <w:rFonts w:hint="default" w:eastAsia="宋体"/>
                <w:color w:val="FF0000"/>
                <w:sz w:val="21"/>
                <w:szCs w:val="21"/>
                <w:lang w:val="en-US" w:eastAsia="zh-CN"/>
              </w:rPr>
            </w:pPr>
            <w:r>
              <w:rPr>
                <w:rFonts w:hint="eastAsia"/>
                <w:color w:val="FF0000"/>
                <w:sz w:val="21"/>
                <w:szCs w:val="21"/>
              </w:rPr>
              <w:t>17370891386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jc w:val="center"/>
        </w:trPr>
        <w:tc>
          <w:tcPr>
            <w:tcW w:w="2130" w:type="dxa"/>
          </w:tcPr>
          <w:p>
            <w:pPr>
              <w:jc w:val="center"/>
              <w:rPr>
                <w:color w:val="000000" w:themeColor="text1"/>
                <w:sz w:val="21"/>
                <w:szCs w:val="21"/>
              </w:rPr>
            </w:pPr>
            <w:r>
              <w:rPr>
                <w:rFonts w:hint="eastAsia"/>
                <w:color w:val="000000" w:themeColor="text1"/>
                <w:sz w:val="21"/>
                <w:szCs w:val="21"/>
              </w:rPr>
              <w:t>生产部</w:t>
            </w:r>
          </w:p>
        </w:tc>
        <w:tc>
          <w:tcPr>
            <w:tcW w:w="2130" w:type="dxa"/>
          </w:tcPr>
          <w:p>
            <w:pPr>
              <w:spacing w:line="320" w:lineRule="exact"/>
              <w:jc w:val="center"/>
              <w:rPr>
                <w:rFonts w:hint="eastAsia" w:eastAsia="宋体"/>
                <w:color w:val="FF0000"/>
                <w:sz w:val="21"/>
                <w:szCs w:val="21"/>
                <w:lang w:eastAsia="zh-CN"/>
              </w:rPr>
            </w:pPr>
            <w:r>
              <w:rPr>
                <w:rFonts w:hint="eastAsia"/>
                <w:color w:val="FF0000"/>
                <w:sz w:val="21"/>
                <w:szCs w:val="21"/>
                <w:lang w:eastAsia="zh-CN"/>
              </w:rPr>
              <w:t>加油员</w:t>
            </w:r>
          </w:p>
        </w:tc>
        <w:tc>
          <w:tcPr>
            <w:tcW w:w="2131" w:type="dxa"/>
            <w:vAlign w:val="center"/>
          </w:tcPr>
          <w:p>
            <w:pPr>
              <w:spacing w:line="320" w:lineRule="exact"/>
              <w:jc w:val="center"/>
              <w:rPr>
                <w:rFonts w:hint="eastAsia" w:ascii="宋体" w:hAnsi="宋体" w:eastAsia="宋体" w:cs="宋体"/>
                <w:color w:val="FF0000"/>
                <w:sz w:val="21"/>
                <w:szCs w:val="21"/>
                <w:lang w:eastAsia="zh-CN"/>
              </w:rPr>
            </w:pPr>
            <w:r>
              <w:rPr>
                <w:rFonts w:hint="eastAsia" w:ascii="宋体" w:hAnsi="宋体" w:cs="宋体"/>
                <w:color w:val="FF0000"/>
                <w:lang w:eastAsia="zh-CN"/>
              </w:rPr>
              <w:t>雷鸣</w:t>
            </w:r>
          </w:p>
        </w:tc>
        <w:tc>
          <w:tcPr>
            <w:tcW w:w="2131" w:type="dxa"/>
            <w:vAlign w:val="center"/>
          </w:tcPr>
          <w:p>
            <w:pPr>
              <w:spacing w:line="320" w:lineRule="exact"/>
              <w:jc w:val="center"/>
              <w:rPr>
                <w:rFonts w:hint="default" w:eastAsia="宋体"/>
                <w:color w:val="FF0000"/>
                <w:sz w:val="21"/>
                <w:szCs w:val="21"/>
                <w:lang w:val="en-US" w:eastAsia="zh-CN"/>
              </w:rPr>
            </w:pPr>
            <w:r>
              <w:rPr>
                <w:rFonts w:hint="eastAsia"/>
                <w:color w:val="FF0000"/>
                <w:lang w:val="en-US" w:eastAsia="zh-CN"/>
              </w:rPr>
              <w:t>13979169210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jc w:val="center"/>
        </w:trPr>
        <w:tc>
          <w:tcPr>
            <w:tcW w:w="2130" w:type="dxa"/>
          </w:tcPr>
          <w:p>
            <w:pPr>
              <w:jc w:val="center"/>
              <w:rPr>
                <w:color w:val="000000" w:themeColor="text1"/>
                <w:sz w:val="21"/>
                <w:szCs w:val="21"/>
              </w:rPr>
            </w:pPr>
            <w:r>
              <w:rPr>
                <w:rFonts w:hint="eastAsia"/>
                <w:color w:val="000000" w:themeColor="text1"/>
                <w:sz w:val="21"/>
                <w:szCs w:val="21"/>
              </w:rPr>
              <w:t>生产部</w:t>
            </w:r>
          </w:p>
        </w:tc>
        <w:tc>
          <w:tcPr>
            <w:tcW w:w="2130" w:type="dxa"/>
          </w:tcPr>
          <w:p>
            <w:pPr>
              <w:spacing w:line="320" w:lineRule="exact"/>
              <w:jc w:val="center"/>
              <w:rPr>
                <w:rFonts w:hint="eastAsia" w:eastAsia="宋体"/>
                <w:color w:val="FF0000"/>
                <w:sz w:val="21"/>
                <w:szCs w:val="21"/>
                <w:lang w:eastAsia="zh-CN"/>
              </w:rPr>
            </w:pPr>
            <w:r>
              <w:rPr>
                <w:rFonts w:hint="eastAsia"/>
                <w:color w:val="FF0000"/>
                <w:sz w:val="21"/>
                <w:szCs w:val="21"/>
                <w:lang w:eastAsia="zh-CN"/>
              </w:rPr>
              <w:t>加油员</w:t>
            </w:r>
          </w:p>
        </w:tc>
        <w:tc>
          <w:tcPr>
            <w:tcW w:w="2131" w:type="dxa"/>
            <w:vAlign w:val="center"/>
          </w:tcPr>
          <w:p>
            <w:pPr>
              <w:spacing w:line="320" w:lineRule="exact"/>
              <w:jc w:val="center"/>
              <w:rPr>
                <w:rFonts w:hint="eastAsia" w:ascii="宋体" w:hAnsi="宋体" w:eastAsia="宋体" w:cs="宋体"/>
                <w:color w:val="FF0000"/>
                <w:sz w:val="21"/>
                <w:szCs w:val="21"/>
                <w:lang w:eastAsia="zh-CN"/>
              </w:rPr>
            </w:pPr>
            <w:r>
              <w:rPr>
                <w:rFonts w:hint="eastAsia" w:ascii="宋体" w:hAnsi="宋体" w:cs="宋体"/>
                <w:color w:val="FF0000"/>
                <w:lang w:eastAsia="zh-CN"/>
              </w:rPr>
              <w:t>付艳琴</w:t>
            </w:r>
          </w:p>
        </w:tc>
        <w:tc>
          <w:tcPr>
            <w:tcW w:w="2131" w:type="dxa"/>
            <w:vAlign w:val="center"/>
          </w:tcPr>
          <w:p>
            <w:pPr>
              <w:spacing w:line="320" w:lineRule="exact"/>
              <w:jc w:val="center"/>
              <w:rPr>
                <w:rFonts w:hint="default" w:eastAsia="宋体"/>
                <w:color w:val="FF0000"/>
                <w:sz w:val="21"/>
                <w:szCs w:val="21"/>
                <w:lang w:val="en-US" w:eastAsia="zh-CN"/>
              </w:rPr>
            </w:pPr>
            <w:r>
              <w:rPr>
                <w:rFonts w:hint="eastAsia"/>
                <w:color w:val="FF0000"/>
                <w:lang w:val="en-US" w:eastAsia="zh-CN"/>
              </w:rPr>
              <w:t>15070930822</w:t>
            </w:r>
          </w:p>
        </w:tc>
      </w:tr>
    </w:tbl>
    <w:p>
      <w:pPr>
        <w:spacing w:line="480" w:lineRule="exact"/>
        <w:ind w:firstLine="480" w:firstLineChars="200"/>
        <w:rPr>
          <w:color w:val="000000" w:themeColor="text1"/>
          <w:sz w:val="24"/>
        </w:rPr>
      </w:pPr>
      <w:r>
        <w:rPr>
          <w:rFonts w:hint="eastAsia"/>
          <w:color w:val="000000" w:themeColor="text1"/>
          <w:sz w:val="24"/>
        </w:rPr>
        <w:t>在《</w:t>
      </w:r>
      <w:r>
        <w:rPr>
          <w:rFonts w:hint="eastAsia" w:hAnsi="宋体"/>
          <w:color w:val="FF0000"/>
          <w:sz w:val="24"/>
          <w:szCs w:val="24"/>
          <w:lang w:eastAsia="zh-CN"/>
        </w:rPr>
        <w:t>中国石化销售股份有限公司江西南昌红谷滩石油分公司世纪星加油站</w:t>
      </w:r>
      <w:r>
        <w:rPr>
          <w:rFonts w:hint="eastAsia"/>
          <w:color w:val="000000" w:themeColor="text1"/>
          <w:sz w:val="24"/>
        </w:rPr>
        <w:t>突发环境事件应急预案》初稿编制完成后，对外征求了附近敏感点对预案的意见。</w:t>
      </w:r>
    </w:p>
    <w:p>
      <w:pPr>
        <w:spacing w:line="440" w:lineRule="exact"/>
        <w:jc w:val="center"/>
        <w:rPr>
          <w:rFonts w:hAnsi="宋体"/>
          <w:b/>
          <w:color w:val="000000" w:themeColor="text1"/>
        </w:rPr>
      </w:pPr>
      <w:r>
        <w:rPr>
          <w:rFonts w:hAnsi="宋体"/>
          <w:b/>
          <w:color w:val="000000" w:themeColor="text1"/>
          <w:highlight w:val="yellow"/>
        </w:rPr>
        <w:t>表</w:t>
      </w:r>
      <w:r>
        <w:rPr>
          <w:rFonts w:hint="eastAsia" w:hAnsi="宋体"/>
          <w:b/>
          <w:color w:val="000000" w:themeColor="text1"/>
          <w:highlight w:val="yellow"/>
          <w:lang w:val="en-US" w:eastAsia="zh-CN"/>
        </w:rPr>
        <w:t xml:space="preserve">2 </w:t>
      </w:r>
      <w:r>
        <w:rPr>
          <w:rFonts w:hint="eastAsia" w:hAnsi="宋体"/>
          <w:b/>
          <w:color w:val="000000" w:themeColor="text1"/>
          <w:highlight w:val="yellow"/>
        </w:rPr>
        <w:t xml:space="preserve"> 周边居民征求意见人员名单</w:t>
      </w:r>
    </w:p>
    <w:tbl>
      <w:tblPr>
        <w:tblStyle w:val="12"/>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05"/>
        <w:gridCol w:w="1705"/>
        <w:gridCol w:w="1704"/>
        <w:gridCol w:w="1704"/>
        <w:gridCol w:w="17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jc w:val="center"/>
        </w:trPr>
        <w:tc>
          <w:tcPr>
            <w:tcW w:w="1705" w:type="dxa"/>
            <w:vAlign w:val="center"/>
          </w:tcPr>
          <w:p>
            <w:pPr>
              <w:spacing w:line="320" w:lineRule="exact"/>
              <w:jc w:val="center"/>
              <w:rPr>
                <w:color w:val="000000" w:themeColor="text1"/>
                <w:sz w:val="21"/>
                <w:szCs w:val="21"/>
              </w:rPr>
            </w:pPr>
            <w:r>
              <w:rPr>
                <w:rFonts w:hint="eastAsia" w:cs="宋体"/>
                <w:color w:val="000000" w:themeColor="text1"/>
                <w:sz w:val="21"/>
                <w:szCs w:val="21"/>
              </w:rPr>
              <w:t>村庄名称</w:t>
            </w:r>
          </w:p>
        </w:tc>
        <w:tc>
          <w:tcPr>
            <w:tcW w:w="1705" w:type="dxa"/>
            <w:vAlign w:val="center"/>
          </w:tcPr>
          <w:p>
            <w:pPr>
              <w:spacing w:line="320" w:lineRule="exact"/>
              <w:jc w:val="center"/>
              <w:rPr>
                <w:color w:val="000000" w:themeColor="text1"/>
                <w:sz w:val="21"/>
                <w:szCs w:val="21"/>
              </w:rPr>
            </w:pPr>
            <w:r>
              <w:rPr>
                <w:rFonts w:hint="eastAsia" w:cs="宋体"/>
                <w:color w:val="000000" w:themeColor="text1"/>
                <w:sz w:val="21"/>
                <w:szCs w:val="21"/>
              </w:rPr>
              <w:t>姓名</w:t>
            </w:r>
          </w:p>
        </w:tc>
        <w:tc>
          <w:tcPr>
            <w:tcW w:w="1704" w:type="dxa"/>
            <w:vAlign w:val="center"/>
          </w:tcPr>
          <w:p>
            <w:pPr>
              <w:spacing w:line="320" w:lineRule="exact"/>
              <w:jc w:val="center"/>
              <w:rPr>
                <w:color w:val="000000" w:themeColor="text1"/>
                <w:sz w:val="21"/>
                <w:szCs w:val="21"/>
              </w:rPr>
            </w:pPr>
            <w:r>
              <w:rPr>
                <w:rFonts w:hint="eastAsia" w:cs="宋体"/>
                <w:color w:val="000000" w:themeColor="text1"/>
                <w:sz w:val="21"/>
                <w:szCs w:val="21"/>
              </w:rPr>
              <w:t>联系方式</w:t>
            </w:r>
          </w:p>
        </w:tc>
        <w:tc>
          <w:tcPr>
            <w:tcW w:w="1704" w:type="dxa"/>
            <w:vAlign w:val="center"/>
          </w:tcPr>
          <w:p>
            <w:pPr>
              <w:spacing w:line="320" w:lineRule="exact"/>
              <w:jc w:val="center"/>
              <w:rPr>
                <w:color w:val="000000" w:themeColor="text1"/>
                <w:sz w:val="21"/>
                <w:szCs w:val="21"/>
              </w:rPr>
            </w:pPr>
            <w:r>
              <w:rPr>
                <w:rFonts w:hint="eastAsia" w:cs="宋体"/>
                <w:color w:val="000000" w:themeColor="text1"/>
                <w:sz w:val="21"/>
                <w:szCs w:val="21"/>
              </w:rPr>
              <w:t>年龄</w:t>
            </w:r>
          </w:p>
        </w:tc>
        <w:tc>
          <w:tcPr>
            <w:tcW w:w="1704" w:type="dxa"/>
            <w:vAlign w:val="center"/>
          </w:tcPr>
          <w:p>
            <w:pPr>
              <w:spacing w:line="320" w:lineRule="exact"/>
              <w:jc w:val="center"/>
              <w:rPr>
                <w:rFonts w:cs="宋体"/>
                <w:color w:val="000000" w:themeColor="text1"/>
                <w:sz w:val="21"/>
                <w:szCs w:val="21"/>
              </w:rPr>
            </w:pPr>
            <w:r>
              <w:rPr>
                <w:rFonts w:hint="eastAsia" w:cs="宋体"/>
                <w:color w:val="000000" w:themeColor="text1"/>
                <w:sz w:val="21"/>
                <w:szCs w:val="21"/>
              </w:rPr>
              <w:t>学历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jc w:val="center"/>
        </w:trPr>
        <w:tc>
          <w:tcPr>
            <w:tcW w:w="1705" w:type="dxa"/>
          </w:tcPr>
          <w:p>
            <w:pPr>
              <w:jc w:val="center"/>
              <w:rPr>
                <w:rFonts w:hint="eastAsia" w:eastAsia="宋体"/>
                <w:color w:val="000000" w:themeColor="text1"/>
                <w:sz w:val="21"/>
                <w:szCs w:val="21"/>
                <w:lang w:eastAsia="zh-CN"/>
              </w:rPr>
            </w:pPr>
            <w:r>
              <w:rPr>
                <w:rFonts w:hint="eastAsia"/>
                <w:color w:val="000000" w:themeColor="text1"/>
                <w:sz w:val="21"/>
                <w:szCs w:val="21"/>
                <w:lang w:eastAsia="zh-CN"/>
              </w:rPr>
              <w:t>昌北水泥厂宿舍</w:t>
            </w:r>
          </w:p>
        </w:tc>
        <w:tc>
          <w:tcPr>
            <w:tcW w:w="1705" w:type="dxa"/>
            <w:vAlign w:val="center"/>
          </w:tcPr>
          <w:p>
            <w:pPr>
              <w:jc w:val="center"/>
              <w:rPr>
                <w:color w:val="000000" w:themeColor="text1"/>
                <w:sz w:val="21"/>
                <w:szCs w:val="21"/>
              </w:rPr>
            </w:pPr>
            <w:r>
              <w:rPr>
                <w:rFonts w:hint="eastAsia"/>
                <w:b w:val="0"/>
                <w:bCs w:val="0"/>
                <w:sz w:val="21"/>
                <w:szCs w:val="21"/>
              </w:rPr>
              <w:t>郭莉</w:t>
            </w:r>
          </w:p>
        </w:tc>
        <w:tc>
          <w:tcPr>
            <w:tcW w:w="1704" w:type="dxa"/>
            <w:vAlign w:val="center"/>
          </w:tcPr>
          <w:p>
            <w:pPr>
              <w:spacing w:line="320" w:lineRule="exact"/>
              <w:jc w:val="center"/>
              <w:rPr>
                <w:color w:val="000000" w:themeColor="text1"/>
                <w:sz w:val="21"/>
                <w:szCs w:val="21"/>
              </w:rPr>
            </w:pPr>
            <w:r>
              <w:rPr>
                <w:rFonts w:hint="eastAsia"/>
                <w:color w:val="FF0000"/>
                <w:sz w:val="21"/>
                <w:szCs w:val="21"/>
                <w:highlight w:val="none"/>
              </w:rPr>
              <w:t>18174014123</w:t>
            </w:r>
          </w:p>
        </w:tc>
        <w:tc>
          <w:tcPr>
            <w:tcW w:w="1704" w:type="dxa"/>
          </w:tcPr>
          <w:p>
            <w:pPr>
              <w:spacing w:line="320" w:lineRule="exact"/>
              <w:jc w:val="center"/>
              <w:rPr>
                <w:rFonts w:hint="default" w:eastAsia="宋体"/>
                <w:color w:val="000000" w:themeColor="text1"/>
                <w:sz w:val="21"/>
                <w:szCs w:val="21"/>
                <w:lang w:val="en-US" w:eastAsia="zh-CN"/>
              </w:rPr>
            </w:pPr>
            <w:r>
              <w:rPr>
                <w:rFonts w:hint="eastAsia"/>
                <w:color w:val="000000" w:themeColor="text1"/>
                <w:sz w:val="21"/>
                <w:szCs w:val="21"/>
                <w:lang w:val="en-US" w:eastAsia="zh-CN"/>
              </w:rPr>
              <w:t>38</w:t>
            </w:r>
          </w:p>
        </w:tc>
        <w:tc>
          <w:tcPr>
            <w:tcW w:w="1704" w:type="dxa"/>
          </w:tcPr>
          <w:p>
            <w:pPr>
              <w:spacing w:line="320" w:lineRule="exact"/>
              <w:jc w:val="center"/>
              <w:rPr>
                <w:rFonts w:hint="eastAsia" w:eastAsia="宋体"/>
                <w:color w:val="000000" w:themeColor="text1"/>
                <w:sz w:val="21"/>
                <w:szCs w:val="21"/>
                <w:lang w:eastAsia="zh-CN"/>
              </w:rPr>
            </w:pPr>
            <w:r>
              <w:rPr>
                <w:rFonts w:hint="eastAsia"/>
                <w:color w:val="000000" w:themeColor="text1"/>
                <w:sz w:val="21"/>
                <w:szCs w:val="21"/>
                <w:lang w:eastAsia="zh-CN"/>
              </w:rPr>
              <w:t>中专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jc w:val="center"/>
        </w:trPr>
        <w:tc>
          <w:tcPr>
            <w:tcW w:w="1705" w:type="dxa"/>
          </w:tcPr>
          <w:p>
            <w:pPr>
              <w:jc w:val="center"/>
              <w:rPr>
                <w:rFonts w:hint="eastAsia" w:eastAsia="宋体"/>
                <w:sz w:val="21"/>
                <w:szCs w:val="21"/>
                <w:lang w:eastAsia="zh-CN"/>
              </w:rPr>
            </w:pPr>
            <w:r>
              <w:rPr>
                <w:rFonts w:hint="eastAsia"/>
                <w:sz w:val="21"/>
                <w:szCs w:val="21"/>
                <w:lang w:eastAsia="zh-CN"/>
              </w:rPr>
              <w:t>荷兰苑</w:t>
            </w:r>
          </w:p>
        </w:tc>
        <w:tc>
          <w:tcPr>
            <w:tcW w:w="1705" w:type="dxa"/>
            <w:vAlign w:val="center"/>
          </w:tcPr>
          <w:p>
            <w:pPr>
              <w:jc w:val="center"/>
              <w:rPr>
                <w:sz w:val="21"/>
                <w:szCs w:val="21"/>
              </w:rPr>
            </w:pPr>
            <w:r>
              <w:rPr>
                <w:rFonts w:hint="eastAsia"/>
                <w:b w:val="0"/>
                <w:bCs w:val="0"/>
                <w:sz w:val="21"/>
                <w:szCs w:val="21"/>
              </w:rPr>
              <w:t xml:space="preserve">许树道 </w:t>
            </w:r>
          </w:p>
        </w:tc>
        <w:tc>
          <w:tcPr>
            <w:tcW w:w="1704" w:type="dxa"/>
            <w:vAlign w:val="center"/>
          </w:tcPr>
          <w:p>
            <w:pPr>
              <w:spacing w:line="320" w:lineRule="exact"/>
              <w:jc w:val="center"/>
              <w:rPr>
                <w:sz w:val="21"/>
                <w:szCs w:val="21"/>
              </w:rPr>
            </w:pPr>
            <w:r>
              <w:rPr>
                <w:rFonts w:hint="eastAsia"/>
                <w:color w:val="FF0000"/>
                <w:sz w:val="21"/>
                <w:szCs w:val="21"/>
                <w:highlight w:val="none"/>
                <w:lang w:val="en-US" w:eastAsia="zh-CN"/>
              </w:rPr>
              <w:t>1356992703</w:t>
            </w:r>
          </w:p>
        </w:tc>
        <w:tc>
          <w:tcPr>
            <w:tcW w:w="1704" w:type="dxa"/>
          </w:tcPr>
          <w:p>
            <w:pPr>
              <w:spacing w:line="320" w:lineRule="exact"/>
              <w:jc w:val="center"/>
              <w:rPr>
                <w:rFonts w:hint="default" w:eastAsia="宋体"/>
                <w:sz w:val="21"/>
                <w:szCs w:val="21"/>
                <w:lang w:val="en-US" w:eastAsia="zh-CN"/>
              </w:rPr>
            </w:pPr>
            <w:r>
              <w:rPr>
                <w:rFonts w:hint="eastAsia"/>
                <w:sz w:val="21"/>
                <w:szCs w:val="21"/>
                <w:lang w:val="en-US" w:eastAsia="zh-CN"/>
              </w:rPr>
              <w:t>29</w:t>
            </w:r>
          </w:p>
        </w:tc>
        <w:tc>
          <w:tcPr>
            <w:tcW w:w="1704" w:type="dxa"/>
          </w:tcPr>
          <w:p>
            <w:pPr>
              <w:spacing w:line="320" w:lineRule="exact"/>
              <w:jc w:val="center"/>
              <w:rPr>
                <w:sz w:val="21"/>
                <w:szCs w:val="21"/>
              </w:rPr>
            </w:pPr>
            <w:r>
              <w:rPr>
                <w:rFonts w:hint="eastAsia"/>
                <w:color w:val="000000" w:themeColor="text1"/>
                <w:sz w:val="21"/>
                <w:szCs w:val="21"/>
                <w:lang w:eastAsia="zh-CN"/>
              </w:rPr>
              <w:t>中专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jc w:val="center"/>
        </w:trPr>
        <w:tc>
          <w:tcPr>
            <w:tcW w:w="1705" w:type="dxa"/>
          </w:tcPr>
          <w:p>
            <w:pPr>
              <w:jc w:val="center"/>
              <w:rPr>
                <w:sz w:val="21"/>
                <w:szCs w:val="21"/>
              </w:rPr>
            </w:pPr>
            <w:r>
              <w:rPr>
                <w:rFonts w:hint="eastAsia"/>
                <w:sz w:val="21"/>
                <w:szCs w:val="21"/>
                <w:lang w:eastAsia="zh-CN"/>
              </w:rPr>
              <w:t>荷兰苑</w:t>
            </w:r>
          </w:p>
        </w:tc>
        <w:tc>
          <w:tcPr>
            <w:tcW w:w="1705" w:type="dxa"/>
            <w:vAlign w:val="center"/>
          </w:tcPr>
          <w:p>
            <w:pPr>
              <w:jc w:val="center"/>
              <w:rPr>
                <w:sz w:val="21"/>
                <w:szCs w:val="21"/>
              </w:rPr>
            </w:pPr>
            <w:r>
              <w:rPr>
                <w:rFonts w:hint="eastAsia"/>
                <w:b w:val="0"/>
                <w:bCs w:val="0"/>
                <w:sz w:val="21"/>
                <w:szCs w:val="21"/>
              </w:rPr>
              <w:t>熊银根</w:t>
            </w:r>
          </w:p>
        </w:tc>
        <w:tc>
          <w:tcPr>
            <w:tcW w:w="1704" w:type="dxa"/>
            <w:vAlign w:val="center"/>
          </w:tcPr>
          <w:p>
            <w:pPr>
              <w:spacing w:line="320" w:lineRule="exact"/>
              <w:jc w:val="center"/>
              <w:rPr>
                <w:sz w:val="21"/>
                <w:szCs w:val="21"/>
              </w:rPr>
            </w:pPr>
            <w:r>
              <w:rPr>
                <w:rFonts w:hint="eastAsia"/>
                <w:color w:val="FF0000"/>
                <w:sz w:val="21"/>
                <w:szCs w:val="21"/>
                <w:highlight w:val="none"/>
                <w:lang w:val="en-US" w:eastAsia="zh-CN"/>
              </w:rPr>
              <w:t>13979138206</w:t>
            </w:r>
          </w:p>
        </w:tc>
        <w:tc>
          <w:tcPr>
            <w:tcW w:w="1704" w:type="dxa"/>
          </w:tcPr>
          <w:p>
            <w:pPr>
              <w:spacing w:line="320" w:lineRule="exact"/>
              <w:jc w:val="center"/>
              <w:rPr>
                <w:rFonts w:hint="default" w:eastAsia="宋体"/>
                <w:sz w:val="21"/>
                <w:szCs w:val="21"/>
                <w:lang w:val="en-US" w:eastAsia="zh-CN"/>
              </w:rPr>
            </w:pPr>
            <w:r>
              <w:rPr>
                <w:rFonts w:hint="eastAsia"/>
                <w:sz w:val="21"/>
                <w:szCs w:val="21"/>
                <w:lang w:val="en-US" w:eastAsia="zh-CN"/>
              </w:rPr>
              <w:t>35</w:t>
            </w:r>
          </w:p>
        </w:tc>
        <w:tc>
          <w:tcPr>
            <w:tcW w:w="1704" w:type="dxa"/>
          </w:tcPr>
          <w:p>
            <w:pPr>
              <w:spacing w:line="320" w:lineRule="exact"/>
              <w:jc w:val="center"/>
              <w:rPr>
                <w:sz w:val="21"/>
                <w:szCs w:val="21"/>
              </w:rPr>
            </w:pPr>
            <w:r>
              <w:rPr>
                <w:rFonts w:hint="eastAsia"/>
                <w:color w:val="000000" w:themeColor="text1"/>
                <w:sz w:val="21"/>
                <w:szCs w:val="21"/>
                <w:lang w:eastAsia="zh-CN"/>
              </w:rPr>
              <w:t>中专</w:t>
            </w:r>
          </w:p>
        </w:tc>
      </w:tr>
    </w:tbl>
    <w:p>
      <w:pPr>
        <w:spacing w:line="440" w:lineRule="exact"/>
        <w:ind w:firstLine="480" w:firstLineChars="200"/>
        <w:rPr>
          <w:sz w:val="24"/>
        </w:rPr>
      </w:pPr>
      <w:r>
        <w:rPr>
          <w:rFonts w:hint="eastAsia"/>
          <w:sz w:val="24"/>
        </w:rPr>
        <w:t>上述人员对预案内容</w:t>
      </w:r>
      <w:r>
        <w:rPr>
          <w:rFonts w:hint="eastAsia"/>
          <w:sz w:val="24"/>
          <w:szCs w:val="24"/>
        </w:rPr>
        <w:t>无反对意见，但要求若发生突发环境事件需第一时间告知</w:t>
      </w:r>
      <w:r>
        <w:rPr>
          <w:rFonts w:hint="eastAsia"/>
          <w:sz w:val="24"/>
        </w:rPr>
        <w:t>。</w:t>
      </w:r>
    </w:p>
    <w:p>
      <w:pPr>
        <w:spacing w:line="440" w:lineRule="exact"/>
        <w:ind w:firstLine="480" w:firstLineChars="200"/>
        <w:rPr>
          <w:color w:val="000000" w:themeColor="text1"/>
          <w:sz w:val="24"/>
        </w:rPr>
      </w:pPr>
      <w:r>
        <w:rPr>
          <w:rFonts w:hint="eastAsia"/>
          <w:color w:val="000000" w:themeColor="text1"/>
          <w:sz w:val="24"/>
        </w:rPr>
        <w:t>预案编制完成后，企业组织相关人员对《</w:t>
      </w:r>
      <w:r>
        <w:rPr>
          <w:rFonts w:hint="eastAsia" w:hAnsi="宋体"/>
          <w:color w:val="FF0000"/>
          <w:sz w:val="24"/>
          <w:szCs w:val="24"/>
          <w:lang w:eastAsia="zh-CN"/>
        </w:rPr>
        <w:t>中国石化销售股份有限公司江西南昌红谷滩石油分公司世纪星加油站</w:t>
      </w:r>
      <w:r>
        <w:rPr>
          <w:rFonts w:hint="eastAsia"/>
          <w:color w:val="000000" w:themeColor="text1"/>
          <w:sz w:val="24"/>
        </w:rPr>
        <w:t>突发环境事件应急预案》进行了培训和演练，主要演练了废碱液泄漏的应急处置过程。经桌面推演，预案基本可行。</w:t>
      </w:r>
    </w:p>
    <w:p>
      <w:pPr>
        <w:spacing w:line="440" w:lineRule="exact"/>
        <w:ind w:firstLine="480" w:firstLineChars="200"/>
        <w:rPr>
          <w:sz w:val="24"/>
        </w:rPr>
      </w:pPr>
      <w:r>
        <w:rPr>
          <w:rFonts w:hint="eastAsia"/>
          <w:sz w:val="24"/>
        </w:rPr>
        <w:t>推演中暴露的问题及解决方案如下；</w:t>
      </w:r>
    </w:p>
    <w:p>
      <w:pPr>
        <w:spacing w:line="440" w:lineRule="exact"/>
        <w:jc w:val="center"/>
        <w:rPr>
          <w:rFonts w:hAnsi="宋体"/>
          <w:b/>
        </w:rPr>
      </w:pPr>
      <w:r>
        <w:rPr>
          <w:rFonts w:hint="eastAsia" w:hAnsi="宋体"/>
          <w:b/>
        </w:rPr>
        <w:t>表</w:t>
      </w:r>
      <w:r>
        <w:rPr>
          <w:rFonts w:hint="eastAsia" w:hAnsi="宋体"/>
          <w:b/>
          <w:lang w:val="en-US" w:eastAsia="zh-CN"/>
        </w:rPr>
        <w:t>3</w:t>
      </w:r>
      <w:r>
        <w:rPr>
          <w:rFonts w:hint="eastAsia" w:hAnsi="宋体"/>
          <w:b/>
        </w:rPr>
        <w:t xml:space="preserve">  问题清单及解决措施一览表</w:t>
      </w:r>
    </w:p>
    <w:tbl>
      <w:tblPr>
        <w:tblStyle w:val="12"/>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3645"/>
        <w:gridCol w:w="4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07" w:type="dxa"/>
            <w:vAlign w:val="center"/>
          </w:tcPr>
          <w:p>
            <w:pPr>
              <w:spacing w:line="320" w:lineRule="exact"/>
              <w:jc w:val="center"/>
              <w:rPr>
                <w:rFonts w:ascii="宋体"/>
                <w:szCs w:val="21"/>
              </w:rPr>
            </w:pPr>
            <w:r>
              <w:rPr>
                <w:rFonts w:hint="eastAsia" w:ascii="宋体"/>
                <w:szCs w:val="21"/>
              </w:rPr>
              <w:t>序号</w:t>
            </w:r>
          </w:p>
        </w:tc>
        <w:tc>
          <w:tcPr>
            <w:tcW w:w="3645" w:type="dxa"/>
            <w:vAlign w:val="center"/>
          </w:tcPr>
          <w:p>
            <w:pPr>
              <w:spacing w:line="320" w:lineRule="exact"/>
              <w:jc w:val="center"/>
              <w:rPr>
                <w:rFonts w:ascii="宋体"/>
                <w:szCs w:val="21"/>
              </w:rPr>
            </w:pPr>
            <w:r>
              <w:rPr>
                <w:rFonts w:hint="eastAsia" w:ascii="宋体"/>
                <w:szCs w:val="21"/>
              </w:rPr>
              <w:t>问题清单</w:t>
            </w:r>
          </w:p>
        </w:tc>
        <w:tc>
          <w:tcPr>
            <w:tcW w:w="4076" w:type="dxa"/>
            <w:vAlign w:val="center"/>
          </w:tcPr>
          <w:p>
            <w:pPr>
              <w:spacing w:line="320" w:lineRule="exact"/>
              <w:jc w:val="center"/>
              <w:rPr>
                <w:rFonts w:ascii="宋体"/>
                <w:szCs w:val="21"/>
              </w:rPr>
            </w:pPr>
            <w:r>
              <w:rPr>
                <w:rFonts w:hint="eastAsia" w:ascii="宋体"/>
                <w:sz w:val="24"/>
                <w:szCs w:val="24"/>
              </w:rPr>
              <w:t>解决措施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07" w:type="dxa"/>
            <w:vAlign w:val="center"/>
          </w:tcPr>
          <w:p>
            <w:pPr>
              <w:spacing w:line="320" w:lineRule="exact"/>
              <w:jc w:val="center"/>
              <w:rPr>
                <w:rFonts w:ascii="宋体"/>
                <w:szCs w:val="21"/>
              </w:rPr>
            </w:pPr>
            <w:r>
              <w:rPr>
                <w:rFonts w:hint="eastAsia" w:ascii="宋体"/>
                <w:szCs w:val="21"/>
              </w:rPr>
              <w:t>1</w:t>
            </w:r>
          </w:p>
        </w:tc>
        <w:tc>
          <w:tcPr>
            <w:tcW w:w="3645" w:type="dxa"/>
            <w:vAlign w:val="center"/>
          </w:tcPr>
          <w:p>
            <w:pPr>
              <w:spacing w:line="320" w:lineRule="exact"/>
              <w:jc w:val="center"/>
              <w:rPr>
                <w:rFonts w:ascii="宋体"/>
                <w:szCs w:val="21"/>
              </w:rPr>
            </w:pPr>
            <w:r>
              <w:rPr>
                <w:rFonts w:hint="eastAsia" w:ascii="宋体"/>
                <w:szCs w:val="21"/>
              </w:rPr>
              <w:t>各应急小组具体组成不够明确，存在一人多责情况</w:t>
            </w:r>
          </w:p>
        </w:tc>
        <w:tc>
          <w:tcPr>
            <w:tcW w:w="4076" w:type="dxa"/>
            <w:vAlign w:val="center"/>
          </w:tcPr>
          <w:p>
            <w:pPr>
              <w:spacing w:line="320" w:lineRule="exact"/>
              <w:jc w:val="center"/>
              <w:rPr>
                <w:rFonts w:ascii="宋体"/>
                <w:szCs w:val="21"/>
              </w:rPr>
            </w:pPr>
            <w:r>
              <w:rPr>
                <w:rFonts w:hint="eastAsia" w:ascii="宋体"/>
                <w:szCs w:val="21"/>
              </w:rPr>
              <w:t>进一步明确各应急小组组成人员，进一步明确分工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07" w:type="dxa"/>
            <w:vAlign w:val="center"/>
          </w:tcPr>
          <w:p>
            <w:pPr>
              <w:spacing w:line="320" w:lineRule="exact"/>
              <w:jc w:val="center"/>
              <w:rPr>
                <w:rFonts w:ascii="宋体"/>
                <w:szCs w:val="21"/>
              </w:rPr>
            </w:pPr>
            <w:r>
              <w:rPr>
                <w:rFonts w:hint="eastAsia" w:ascii="宋体"/>
                <w:szCs w:val="21"/>
              </w:rPr>
              <w:t>2</w:t>
            </w:r>
          </w:p>
        </w:tc>
        <w:tc>
          <w:tcPr>
            <w:tcW w:w="3645" w:type="dxa"/>
            <w:vAlign w:val="center"/>
          </w:tcPr>
          <w:p>
            <w:pPr>
              <w:spacing w:line="320" w:lineRule="exact"/>
              <w:jc w:val="center"/>
              <w:rPr>
                <w:rFonts w:ascii="宋体"/>
                <w:szCs w:val="21"/>
              </w:rPr>
            </w:pPr>
            <w:r>
              <w:rPr>
                <w:rFonts w:hint="eastAsia" w:ascii="宋体"/>
                <w:szCs w:val="21"/>
              </w:rPr>
              <w:t>未与周边企业签订救援协议，周边企业联系人演练期间未联系到</w:t>
            </w:r>
          </w:p>
        </w:tc>
        <w:tc>
          <w:tcPr>
            <w:tcW w:w="4076" w:type="dxa"/>
            <w:vAlign w:val="center"/>
          </w:tcPr>
          <w:p>
            <w:pPr>
              <w:spacing w:line="320" w:lineRule="exact"/>
              <w:jc w:val="center"/>
              <w:rPr>
                <w:rFonts w:ascii="宋体"/>
                <w:szCs w:val="21"/>
              </w:rPr>
            </w:pPr>
            <w:r>
              <w:rPr>
                <w:rFonts w:hint="eastAsia" w:ascii="宋体"/>
                <w:szCs w:val="21"/>
              </w:rPr>
              <w:t>尽快与周边企业签订救援协议；</w:t>
            </w:r>
          </w:p>
        </w:tc>
      </w:tr>
    </w:tbl>
    <w:p>
      <w:pPr>
        <w:outlineLvl w:val="0"/>
        <w:rPr>
          <w:rFonts w:eastAsia="楷体"/>
          <w:b/>
          <w:snapToGrid w:val="0"/>
          <w:color w:val="000000" w:themeColor="text1"/>
          <w:spacing w:val="4"/>
          <w:kern w:val="0"/>
          <w:sz w:val="30"/>
          <w:szCs w:val="32"/>
        </w:rPr>
      </w:pPr>
      <w:r>
        <w:rPr>
          <w:rFonts w:hint="eastAsia" w:eastAsia="楷体"/>
          <w:b/>
          <w:snapToGrid w:val="0"/>
          <w:color w:val="000000" w:themeColor="text1"/>
          <w:spacing w:val="4"/>
          <w:kern w:val="0"/>
          <w:sz w:val="30"/>
          <w:szCs w:val="32"/>
        </w:rPr>
        <w:t>五、函审情况说明</w:t>
      </w:r>
    </w:p>
    <w:p>
      <w:pPr>
        <w:spacing w:line="440" w:lineRule="exact"/>
        <w:ind w:firstLine="480" w:firstLineChars="200"/>
        <w:rPr>
          <w:bCs/>
          <w:color w:val="000000" w:themeColor="text1"/>
          <w:sz w:val="24"/>
        </w:rPr>
      </w:pPr>
      <w:r>
        <w:rPr>
          <w:color w:val="000000" w:themeColor="text1"/>
          <w:sz w:val="24"/>
        </w:rPr>
        <w:t>201</w:t>
      </w:r>
      <w:r>
        <w:rPr>
          <w:rFonts w:hint="eastAsia"/>
          <w:color w:val="000000" w:themeColor="text1"/>
          <w:sz w:val="24"/>
        </w:rPr>
        <w:t>9年</w:t>
      </w:r>
      <w:r>
        <w:rPr>
          <w:color w:val="000000" w:themeColor="text1"/>
          <w:sz w:val="24"/>
        </w:rPr>
        <w:t>6</w:t>
      </w:r>
      <w:r>
        <w:rPr>
          <w:rFonts w:hint="eastAsia"/>
          <w:color w:val="000000" w:themeColor="text1"/>
          <w:sz w:val="24"/>
        </w:rPr>
        <w:t>月，</w:t>
      </w:r>
      <w:r>
        <w:rPr>
          <w:rFonts w:hint="eastAsia" w:hAnsi="宋体"/>
          <w:color w:val="FF0000"/>
          <w:sz w:val="24"/>
          <w:szCs w:val="24"/>
          <w:lang w:eastAsia="zh-CN"/>
        </w:rPr>
        <w:t>中国石化销售股份有限公司江西南昌红谷滩石油分公司世纪星加油站</w:t>
      </w:r>
      <w:r>
        <w:rPr>
          <w:rFonts w:hint="eastAsia"/>
          <w:color w:val="000000" w:themeColor="text1"/>
          <w:sz w:val="24"/>
        </w:rPr>
        <w:t>组织了《</w:t>
      </w:r>
      <w:r>
        <w:rPr>
          <w:rFonts w:hint="eastAsia" w:hAnsi="宋体"/>
          <w:color w:val="FF0000"/>
          <w:sz w:val="24"/>
          <w:szCs w:val="24"/>
          <w:lang w:eastAsia="zh-CN"/>
        </w:rPr>
        <w:t>中国石化销售股份有限公司江西南昌红谷滩石油分公司世纪星加油站</w:t>
      </w:r>
      <w:r>
        <w:rPr>
          <w:rFonts w:hint="eastAsia"/>
          <w:color w:val="000000" w:themeColor="text1"/>
          <w:sz w:val="24"/>
        </w:rPr>
        <w:t>突发环境事件应急预案》函审事宜。</w:t>
      </w:r>
      <w:r>
        <w:rPr>
          <w:rFonts w:hint="eastAsia"/>
          <w:bCs/>
          <w:color w:val="000000" w:themeColor="text1"/>
          <w:sz w:val="24"/>
        </w:rPr>
        <w:t>根据函审意见，预案编制小组进一步完善了企业应急预案，形成了最终备案版预案。</w:t>
      </w:r>
    </w:p>
    <w:p>
      <w:pPr>
        <w:spacing w:line="440" w:lineRule="exact"/>
        <w:ind w:firstLine="480" w:firstLineChars="200"/>
        <w:rPr>
          <w:sz w:val="24"/>
        </w:rPr>
      </w:pPr>
      <w:r>
        <w:rPr>
          <w:rFonts w:hint="eastAsia"/>
          <w:color w:val="000000" w:themeColor="text1"/>
          <w:sz w:val="24"/>
        </w:rPr>
        <w:t>制定《</w:t>
      </w:r>
      <w:r>
        <w:rPr>
          <w:rFonts w:hint="eastAsia" w:hAnsi="宋体"/>
          <w:color w:val="FF0000"/>
          <w:sz w:val="24"/>
          <w:szCs w:val="24"/>
          <w:lang w:eastAsia="zh-CN"/>
        </w:rPr>
        <w:t>中国石化销售股份有限公司江西南昌红谷滩石油分公司世纪星加油站</w:t>
      </w:r>
      <w:r>
        <w:rPr>
          <w:rFonts w:hint="eastAsia"/>
          <w:color w:val="000000" w:themeColor="text1"/>
          <w:sz w:val="24"/>
        </w:rPr>
        <w:t>突发环境事件应急预案》是一项紧迫而又重要的任务，已取得了一定的阶段性成果，企业将在</w:t>
      </w:r>
      <w:r>
        <w:rPr>
          <w:rFonts w:hint="eastAsia"/>
          <w:sz w:val="24"/>
        </w:rPr>
        <w:t>今后的实践中进一步完善预案，确保企业在发生突发环境事件时，各项应急工作能够快速、高效有序，避免和最大限度地减轻突发环境事件对环境造成危害和损失。</w:t>
      </w:r>
    </w:p>
    <w:p/>
    <w:sectPr>
      <w:headerReference r:id="rId5" w:type="first"/>
      <w:footerReference r:id="rId7" w:type="first"/>
      <w:headerReference r:id="rId4" w:type="default"/>
      <w:footerReference r:id="rId6" w:type="default"/>
      <w:pgSz w:w="11906" w:h="16838"/>
      <w:pgMar w:top="1440" w:right="1800" w:bottom="1440" w:left="1800" w:header="851" w:footer="850"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 PAGE   \* MERGEFORMAT </w:instrText>
    </w:r>
    <w:r>
      <w:fldChar w:fldCharType="separate"/>
    </w:r>
    <w:r>
      <w:rPr>
        <w:lang w:val="zh-CN"/>
      </w:rPr>
      <w:t>2</w:t>
    </w:r>
    <w:r>
      <w:rPr>
        <w:lang w:val="zh-CN"/>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top w:val="single" w:color="auto" w:sz="4" w:space="1"/>
      </w:pBdr>
      <w:jc w:val="center"/>
    </w:pPr>
    <w:r>
      <w:fldChar w:fldCharType="begin"/>
    </w:r>
    <w:r>
      <w:instrText xml:space="preserve"> PAGE   \* MERGEFORMAT </w:instrText>
    </w:r>
    <w:r>
      <w:fldChar w:fldCharType="separate"/>
    </w:r>
    <w:r>
      <w:rPr>
        <w:lang w:val="zh-CN"/>
      </w:rPr>
      <w:t>2</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top w:val="single" w:color="auto" w:sz="4" w:space="1"/>
      </w:pBdr>
      <w:jc w:val="center"/>
    </w:pPr>
    <w:r>
      <w:fldChar w:fldCharType="begin"/>
    </w:r>
    <w:r>
      <w:instrText xml:space="preserve"> PAGE   \* MERGEFORMAT </w:instrText>
    </w:r>
    <w:r>
      <w:fldChar w:fldCharType="separate"/>
    </w:r>
    <w:r>
      <w:rPr>
        <w:lang w:val="zh-CN"/>
      </w:rPr>
      <w:t>1</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tabs>
        <w:tab w:val="left" w:pos="4701"/>
      </w:tabs>
      <w:jc w:val="center"/>
      <w:rPr>
        <w:rFonts w:ascii="宋体" w:hAnsi="宋体" w:cs="宋体"/>
        <w:spacing w:val="-6"/>
        <w:sz w:val="20"/>
        <w:szCs w:val="16"/>
      </w:rPr>
    </w:pPr>
    <w:r>
      <w:rPr>
        <w:rFonts w:hint="eastAsia" w:ascii="宋体" w:hAnsi="宋体" w:cs="宋体"/>
        <w:spacing w:val="-6"/>
        <w:sz w:val="20"/>
        <w:szCs w:val="16"/>
        <w:lang w:eastAsia="zh-CN"/>
      </w:rPr>
      <w:t>中国石化销售股份有限公司江西南昌红谷滩石油分公司世纪星加油站</w:t>
    </w:r>
    <w:r>
      <w:rPr>
        <w:rFonts w:hint="eastAsia" w:ascii="宋体" w:hAnsi="宋体" w:cs="宋体"/>
        <w:spacing w:val="-6"/>
        <w:sz w:val="20"/>
        <w:szCs w:val="16"/>
      </w:rPr>
      <w:t>突发环境事件应急预案编制说明</w:t>
    </w:r>
  </w:p>
  <w:p>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tabs>
        <w:tab w:val="left" w:pos="4701"/>
      </w:tabs>
      <w:jc w:val="center"/>
      <w:rPr>
        <w:rFonts w:ascii="宋体" w:hAnsi="宋体" w:cs="宋体"/>
        <w:spacing w:val="-6"/>
        <w:sz w:val="20"/>
        <w:szCs w:val="16"/>
      </w:rPr>
    </w:pPr>
    <w:r>
      <w:rPr>
        <w:rFonts w:hint="eastAsia" w:ascii="宋体" w:hAnsi="宋体" w:cs="宋体"/>
        <w:spacing w:val="-6"/>
        <w:sz w:val="20"/>
        <w:szCs w:val="16"/>
        <w:lang w:eastAsia="zh-CN"/>
      </w:rPr>
      <w:t>中国石化销售股份有限公司江西南昌红谷滩石油分公司世纪星加油站</w:t>
    </w:r>
    <w:r>
      <w:rPr>
        <w:rFonts w:hint="eastAsia" w:ascii="宋体" w:hAnsi="宋体" w:cs="宋体"/>
        <w:spacing w:val="-6"/>
        <w:sz w:val="20"/>
        <w:szCs w:val="16"/>
      </w:rPr>
      <w:t>突发环境事件应急预案编制说明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541"/>
    <w:rsid w:val="000046BA"/>
    <w:rsid w:val="000064F3"/>
    <w:rsid w:val="000139BD"/>
    <w:rsid w:val="0001445E"/>
    <w:rsid w:val="00041AB3"/>
    <w:rsid w:val="00046693"/>
    <w:rsid w:val="000505BD"/>
    <w:rsid w:val="00060511"/>
    <w:rsid w:val="0006400A"/>
    <w:rsid w:val="00065D8F"/>
    <w:rsid w:val="000675F5"/>
    <w:rsid w:val="000724E5"/>
    <w:rsid w:val="00073D6B"/>
    <w:rsid w:val="00081984"/>
    <w:rsid w:val="00081E0F"/>
    <w:rsid w:val="00095A35"/>
    <w:rsid w:val="00097A51"/>
    <w:rsid w:val="000A3B29"/>
    <w:rsid w:val="000A6D76"/>
    <w:rsid w:val="000D3306"/>
    <w:rsid w:val="000E4D9D"/>
    <w:rsid w:val="000E56AE"/>
    <w:rsid w:val="00100227"/>
    <w:rsid w:val="00123E17"/>
    <w:rsid w:val="00146DB2"/>
    <w:rsid w:val="00172A27"/>
    <w:rsid w:val="001741C6"/>
    <w:rsid w:val="0018065D"/>
    <w:rsid w:val="0019060F"/>
    <w:rsid w:val="00190F88"/>
    <w:rsid w:val="00192556"/>
    <w:rsid w:val="001B0567"/>
    <w:rsid w:val="001B1801"/>
    <w:rsid w:val="001F00A9"/>
    <w:rsid w:val="00213B28"/>
    <w:rsid w:val="0024736A"/>
    <w:rsid w:val="00256FC4"/>
    <w:rsid w:val="00295792"/>
    <w:rsid w:val="0029590C"/>
    <w:rsid w:val="002A01B1"/>
    <w:rsid w:val="002A4E5F"/>
    <w:rsid w:val="002B00E9"/>
    <w:rsid w:val="002B28B4"/>
    <w:rsid w:val="002C3749"/>
    <w:rsid w:val="002E27CB"/>
    <w:rsid w:val="002E7D50"/>
    <w:rsid w:val="002F0341"/>
    <w:rsid w:val="002F350E"/>
    <w:rsid w:val="00336BEC"/>
    <w:rsid w:val="0033796C"/>
    <w:rsid w:val="00341B4C"/>
    <w:rsid w:val="0034769F"/>
    <w:rsid w:val="00351328"/>
    <w:rsid w:val="00354A8B"/>
    <w:rsid w:val="0036531D"/>
    <w:rsid w:val="0037030D"/>
    <w:rsid w:val="003737A5"/>
    <w:rsid w:val="00380819"/>
    <w:rsid w:val="003857AF"/>
    <w:rsid w:val="003874C5"/>
    <w:rsid w:val="003A7C90"/>
    <w:rsid w:val="003C0C60"/>
    <w:rsid w:val="003C507D"/>
    <w:rsid w:val="003E4080"/>
    <w:rsid w:val="003F2844"/>
    <w:rsid w:val="00400028"/>
    <w:rsid w:val="00403C15"/>
    <w:rsid w:val="00410427"/>
    <w:rsid w:val="00415131"/>
    <w:rsid w:val="004429ED"/>
    <w:rsid w:val="00443054"/>
    <w:rsid w:val="004530C2"/>
    <w:rsid w:val="0045372B"/>
    <w:rsid w:val="004563F4"/>
    <w:rsid w:val="00460536"/>
    <w:rsid w:val="00472EDA"/>
    <w:rsid w:val="004814FA"/>
    <w:rsid w:val="00491153"/>
    <w:rsid w:val="0049291F"/>
    <w:rsid w:val="004A2B93"/>
    <w:rsid w:val="004A4AB8"/>
    <w:rsid w:val="004A5ACB"/>
    <w:rsid w:val="004A63DD"/>
    <w:rsid w:val="004B08A8"/>
    <w:rsid w:val="004B0E00"/>
    <w:rsid w:val="004B372E"/>
    <w:rsid w:val="004D46EE"/>
    <w:rsid w:val="004E15E4"/>
    <w:rsid w:val="004E2B28"/>
    <w:rsid w:val="004E59FA"/>
    <w:rsid w:val="004F1B52"/>
    <w:rsid w:val="004F6BEC"/>
    <w:rsid w:val="00502782"/>
    <w:rsid w:val="005206C2"/>
    <w:rsid w:val="00523E0D"/>
    <w:rsid w:val="00526D46"/>
    <w:rsid w:val="0054144E"/>
    <w:rsid w:val="005438AA"/>
    <w:rsid w:val="005502F5"/>
    <w:rsid w:val="00552BDA"/>
    <w:rsid w:val="0057098C"/>
    <w:rsid w:val="005C1C33"/>
    <w:rsid w:val="005D4CCF"/>
    <w:rsid w:val="005F434B"/>
    <w:rsid w:val="006041B7"/>
    <w:rsid w:val="00605AAA"/>
    <w:rsid w:val="00606388"/>
    <w:rsid w:val="00614F95"/>
    <w:rsid w:val="00624C60"/>
    <w:rsid w:val="00625A2A"/>
    <w:rsid w:val="00634C49"/>
    <w:rsid w:val="00636896"/>
    <w:rsid w:val="0064682C"/>
    <w:rsid w:val="00646BEB"/>
    <w:rsid w:val="00685B3D"/>
    <w:rsid w:val="00691DDE"/>
    <w:rsid w:val="006A3180"/>
    <w:rsid w:val="006C2937"/>
    <w:rsid w:val="006F153F"/>
    <w:rsid w:val="007066BB"/>
    <w:rsid w:val="00713310"/>
    <w:rsid w:val="00713A64"/>
    <w:rsid w:val="007162E6"/>
    <w:rsid w:val="007267B8"/>
    <w:rsid w:val="00726A73"/>
    <w:rsid w:val="00753079"/>
    <w:rsid w:val="00754267"/>
    <w:rsid w:val="0075714D"/>
    <w:rsid w:val="0076060F"/>
    <w:rsid w:val="0076274F"/>
    <w:rsid w:val="007671C2"/>
    <w:rsid w:val="0076724B"/>
    <w:rsid w:val="007746A8"/>
    <w:rsid w:val="007770BA"/>
    <w:rsid w:val="00786064"/>
    <w:rsid w:val="00793CC3"/>
    <w:rsid w:val="0079760B"/>
    <w:rsid w:val="007979EB"/>
    <w:rsid w:val="007B4020"/>
    <w:rsid w:val="007B53D6"/>
    <w:rsid w:val="007D17C9"/>
    <w:rsid w:val="007E52F1"/>
    <w:rsid w:val="007E5F4E"/>
    <w:rsid w:val="00803A97"/>
    <w:rsid w:val="00811970"/>
    <w:rsid w:val="008123D2"/>
    <w:rsid w:val="00824326"/>
    <w:rsid w:val="0083307B"/>
    <w:rsid w:val="00836BC5"/>
    <w:rsid w:val="00844BCD"/>
    <w:rsid w:val="008519E2"/>
    <w:rsid w:val="00862545"/>
    <w:rsid w:val="00874A73"/>
    <w:rsid w:val="00876222"/>
    <w:rsid w:val="00892E32"/>
    <w:rsid w:val="008A4AEA"/>
    <w:rsid w:val="008A5639"/>
    <w:rsid w:val="008A6CFC"/>
    <w:rsid w:val="008A7DC2"/>
    <w:rsid w:val="008B2286"/>
    <w:rsid w:val="008B3D10"/>
    <w:rsid w:val="008D2D39"/>
    <w:rsid w:val="008D3EF1"/>
    <w:rsid w:val="008D7426"/>
    <w:rsid w:val="008E09A8"/>
    <w:rsid w:val="008E3D5F"/>
    <w:rsid w:val="008E7505"/>
    <w:rsid w:val="009117D7"/>
    <w:rsid w:val="00916663"/>
    <w:rsid w:val="009176F4"/>
    <w:rsid w:val="00921782"/>
    <w:rsid w:val="00923658"/>
    <w:rsid w:val="0093287D"/>
    <w:rsid w:val="0094240C"/>
    <w:rsid w:val="009502A5"/>
    <w:rsid w:val="00961F63"/>
    <w:rsid w:val="009669AD"/>
    <w:rsid w:val="00973CB0"/>
    <w:rsid w:val="0098153D"/>
    <w:rsid w:val="00997E26"/>
    <w:rsid w:val="009A6B77"/>
    <w:rsid w:val="009B03B6"/>
    <w:rsid w:val="009B584B"/>
    <w:rsid w:val="009C201A"/>
    <w:rsid w:val="009C3B26"/>
    <w:rsid w:val="009D33C5"/>
    <w:rsid w:val="009E54A8"/>
    <w:rsid w:val="00A13F35"/>
    <w:rsid w:val="00A216E3"/>
    <w:rsid w:val="00A2244B"/>
    <w:rsid w:val="00A40ADC"/>
    <w:rsid w:val="00A425ED"/>
    <w:rsid w:val="00A53B5C"/>
    <w:rsid w:val="00A77E35"/>
    <w:rsid w:val="00AA5987"/>
    <w:rsid w:val="00AB6BD1"/>
    <w:rsid w:val="00AB7B51"/>
    <w:rsid w:val="00AC2D14"/>
    <w:rsid w:val="00AD13C3"/>
    <w:rsid w:val="00AE4DD2"/>
    <w:rsid w:val="00AF2949"/>
    <w:rsid w:val="00B2291D"/>
    <w:rsid w:val="00B24966"/>
    <w:rsid w:val="00B32D3E"/>
    <w:rsid w:val="00B52758"/>
    <w:rsid w:val="00B53B82"/>
    <w:rsid w:val="00B622A7"/>
    <w:rsid w:val="00B67D08"/>
    <w:rsid w:val="00B765EA"/>
    <w:rsid w:val="00B76F4B"/>
    <w:rsid w:val="00B814E8"/>
    <w:rsid w:val="00BA1CFC"/>
    <w:rsid w:val="00BA5543"/>
    <w:rsid w:val="00BA7A32"/>
    <w:rsid w:val="00BC06C2"/>
    <w:rsid w:val="00BC4583"/>
    <w:rsid w:val="00BF5254"/>
    <w:rsid w:val="00BF67BC"/>
    <w:rsid w:val="00C06FBF"/>
    <w:rsid w:val="00C15359"/>
    <w:rsid w:val="00C15409"/>
    <w:rsid w:val="00C414BB"/>
    <w:rsid w:val="00C47FBC"/>
    <w:rsid w:val="00C52089"/>
    <w:rsid w:val="00C521FC"/>
    <w:rsid w:val="00C5236D"/>
    <w:rsid w:val="00C5573A"/>
    <w:rsid w:val="00C955E0"/>
    <w:rsid w:val="00CA0873"/>
    <w:rsid w:val="00CA72FE"/>
    <w:rsid w:val="00CB08E5"/>
    <w:rsid w:val="00CB71E5"/>
    <w:rsid w:val="00CC0FDB"/>
    <w:rsid w:val="00CD3A21"/>
    <w:rsid w:val="00CD6BA4"/>
    <w:rsid w:val="00CE257E"/>
    <w:rsid w:val="00CE2B65"/>
    <w:rsid w:val="00CF4291"/>
    <w:rsid w:val="00D05E48"/>
    <w:rsid w:val="00D31051"/>
    <w:rsid w:val="00D65CED"/>
    <w:rsid w:val="00D81CAB"/>
    <w:rsid w:val="00D9426E"/>
    <w:rsid w:val="00DA5A6F"/>
    <w:rsid w:val="00DB6727"/>
    <w:rsid w:val="00DB71C0"/>
    <w:rsid w:val="00E03B5E"/>
    <w:rsid w:val="00E03B69"/>
    <w:rsid w:val="00E16407"/>
    <w:rsid w:val="00E26147"/>
    <w:rsid w:val="00E34619"/>
    <w:rsid w:val="00E50945"/>
    <w:rsid w:val="00E53B55"/>
    <w:rsid w:val="00E61A8B"/>
    <w:rsid w:val="00E6555E"/>
    <w:rsid w:val="00E83ECD"/>
    <w:rsid w:val="00E87961"/>
    <w:rsid w:val="00E9125B"/>
    <w:rsid w:val="00EA04FF"/>
    <w:rsid w:val="00EA10D3"/>
    <w:rsid w:val="00EA2B49"/>
    <w:rsid w:val="00EB10AC"/>
    <w:rsid w:val="00EB20AF"/>
    <w:rsid w:val="00ED0BA1"/>
    <w:rsid w:val="00ED22D9"/>
    <w:rsid w:val="00ED7314"/>
    <w:rsid w:val="00EE2EAC"/>
    <w:rsid w:val="00EE3E11"/>
    <w:rsid w:val="00EF20FC"/>
    <w:rsid w:val="00EF2127"/>
    <w:rsid w:val="00EF545C"/>
    <w:rsid w:val="00EF7A25"/>
    <w:rsid w:val="00F03A98"/>
    <w:rsid w:val="00F1247F"/>
    <w:rsid w:val="00F12A05"/>
    <w:rsid w:val="00F15FBC"/>
    <w:rsid w:val="00F30FA0"/>
    <w:rsid w:val="00F57D47"/>
    <w:rsid w:val="00F6235B"/>
    <w:rsid w:val="00F71862"/>
    <w:rsid w:val="00F73638"/>
    <w:rsid w:val="00F776A4"/>
    <w:rsid w:val="00F80A95"/>
    <w:rsid w:val="00F932E7"/>
    <w:rsid w:val="00F961F0"/>
    <w:rsid w:val="00FA2CDC"/>
    <w:rsid w:val="00FA5F3B"/>
    <w:rsid w:val="00FB2E59"/>
    <w:rsid w:val="00FC073F"/>
    <w:rsid w:val="00FE5658"/>
    <w:rsid w:val="17303F41"/>
    <w:rsid w:val="208C4518"/>
    <w:rsid w:val="43952CA5"/>
    <w:rsid w:val="783B6F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4"/>
    <w:basedOn w:val="1"/>
    <w:next w:val="1"/>
    <w:link w:val="17"/>
    <w:qFormat/>
    <w:uiPriority w:val="9"/>
    <w:pPr>
      <w:keepNext/>
      <w:keepLines/>
      <w:tabs>
        <w:tab w:val="left" w:pos="1080"/>
      </w:tabs>
      <w:adjustRightInd w:val="0"/>
      <w:snapToGrid w:val="0"/>
      <w:spacing w:line="440" w:lineRule="exact"/>
      <w:outlineLvl w:val="3"/>
    </w:pPr>
    <w:rPr>
      <w:rFonts w:ascii="Cambria" w:hAnsi="Cambria"/>
      <w:b/>
      <w:bCs/>
      <w:kern w:val="0"/>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4">
    <w:name w:val="Normal Indent"/>
    <w:basedOn w:val="1"/>
    <w:qFormat/>
    <w:uiPriority w:val="99"/>
    <w:pPr>
      <w:ind w:firstLine="420"/>
    </w:pPr>
    <w:rPr>
      <w:sz w:val="24"/>
    </w:rPr>
  </w:style>
  <w:style w:type="paragraph" w:styleId="5">
    <w:name w:val="Document Map"/>
    <w:basedOn w:val="1"/>
    <w:link w:val="22"/>
    <w:semiHidden/>
    <w:qFormat/>
    <w:uiPriority w:val="99"/>
    <w:rPr>
      <w:rFonts w:ascii="宋体"/>
      <w:sz w:val="18"/>
      <w:szCs w:val="18"/>
    </w:rPr>
  </w:style>
  <w:style w:type="paragraph" w:styleId="6">
    <w:name w:val="annotation text"/>
    <w:basedOn w:val="1"/>
    <w:link w:val="24"/>
    <w:semiHidden/>
    <w:unhideWhenUsed/>
    <w:qFormat/>
    <w:uiPriority w:val="99"/>
    <w:pPr>
      <w:jc w:val="left"/>
    </w:pPr>
  </w:style>
  <w:style w:type="paragraph" w:styleId="7">
    <w:name w:val="Body Text Indent"/>
    <w:basedOn w:val="1"/>
    <w:link w:val="20"/>
    <w:qFormat/>
    <w:uiPriority w:val="99"/>
    <w:pPr>
      <w:spacing w:line="500" w:lineRule="exact"/>
      <w:ind w:firstLine="520" w:firstLineChars="200"/>
    </w:pPr>
    <w:rPr>
      <w:kern w:val="0"/>
      <w:sz w:val="20"/>
    </w:rPr>
  </w:style>
  <w:style w:type="paragraph" w:styleId="8">
    <w:name w:val="Balloon Text"/>
    <w:basedOn w:val="1"/>
    <w:link w:val="26"/>
    <w:semiHidden/>
    <w:unhideWhenUsed/>
    <w:qFormat/>
    <w:uiPriority w:val="99"/>
    <w:rPr>
      <w:sz w:val="18"/>
      <w:szCs w:val="18"/>
    </w:rPr>
  </w:style>
  <w:style w:type="paragraph" w:styleId="9">
    <w:name w:val="footer"/>
    <w:basedOn w:val="1"/>
    <w:link w:val="23"/>
    <w:qFormat/>
    <w:uiPriority w:val="99"/>
    <w:pPr>
      <w:tabs>
        <w:tab w:val="center" w:pos="4153"/>
        <w:tab w:val="right" w:pos="8306"/>
      </w:tabs>
      <w:snapToGrid w:val="0"/>
      <w:jc w:val="left"/>
    </w:pPr>
    <w:rPr>
      <w:sz w:val="18"/>
    </w:rPr>
  </w:style>
  <w:style w:type="paragraph" w:styleId="10">
    <w:name w:val="header"/>
    <w:basedOn w:val="1"/>
    <w:link w:val="1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kern w:val="0"/>
      <w:sz w:val="18"/>
      <w:szCs w:val="18"/>
    </w:rPr>
  </w:style>
  <w:style w:type="paragraph" w:styleId="11">
    <w:name w:val="annotation subject"/>
    <w:basedOn w:val="6"/>
    <w:next w:val="6"/>
    <w:link w:val="25"/>
    <w:semiHidden/>
    <w:unhideWhenUsed/>
    <w:qFormat/>
    <w:uiPriority w:val="99"/>
    <w:rPr>
      <w:b/>
      <w:bCs/>
    </w:rPr>
  </w:style>
  <w:style w:type="table" w:styleId="13">
    <w:name w:val="Table Grid"/>
    <w:basedOn w:val="12"/>
    <w:qFormat/>
    <w:uiPriority w:val="0"/>
    <w:pPr>
      <w:widowControl w:val="0"/>
      <w:jc w:val="both"/>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annotation reference"/>
    <w:semiHidden/>
    <w:unhideWhenUsed/>
    <w:qFormat/>
    <w:uiPriority w:val="99"/>
    <w:rPr>
      <w:sz w:val="21"/>
      <w:szCs w:val="21"/>
    </w:rPr>
  </w:style>
  <w:style w:type="character" w:customStyle="1" w:styleId="16">
    <w:name w:val="标题 1 字符"/>
    <w:link w:val="2"/>
    <w:qFormat/>
    <w:uiPriority w:val="9"/>
    <w:rPr>
      <w:b/>
      <w:bCs/>
      <w:kern w:val="44"/>
      <w:sz w:val="44"/>
      <w:szCs w:val="44"/>
    </w:rPr>
  </w:style>
  <w:style w:type="character" w:customStyle="1" w:styleId="17">
    <w:name w:val="标题 4 字符"/>
    <w:link w:val="3"/>
    <w:semiHidden/>
    <w:qFormat/>
    <w:uiPriority w:val="9"/>
    <w:rPr>
      <w:rFonts w:ascii="Cambria" w:hAnsi="Cambria" w:eastAsia="宋体" w:cs="Times New Roman"/>
      <w:b/>
      <w:bCs/>
      <w:sz w:val="28"/>
      <w:szCs w:val="28"/>
    </w:rPr>
  </w:style>
  <w:style w:type="character" w:customStyle="1" w:styleId="18">
    <w:name w:val="页眉 字符"/>
    <w:link w:val="10"/>
    <w:semiHidden/>
    <w:qFormat/>
    <w:uiPriority w:val="99"/>
    <w:rPr>
      <w:sz w:val="18"/>
      <w:szCs w:val="18"/>
    </w:rPr>
  </w:style>
  <w:style w:type="character" w:customStyle="1" w:styleId="19">
    <w:name w:val="Footer Char"/>
    <w:semiHidden/>
    <w:qFormat/>
    <w:uiPriority w:val="99"/>
    <w:rPr>
      <w:sz w:val="18"/>
      <w:szCs w:val="18"/>
    </w:rPr>
  </w:style>
  <w:style w:type="character" w:customStyle="1" w:styleId="20">
    <w:name w:val="正文文本缩进 字符"/>
    <w:link w:val="7"/>
    <w:semiHidden/>
    <w:qFormat/>
    <w:uiPriority w:val="99"/>
    <w:rPr>
      <w:szCs w:val="20"/>
    </w:rPr>
  </w:style>
  <w:style w:type="character" w:customStyle="1" w:styleId="21">
    <w:name w:val="Document Map Char"/>
    <w:semiHidden/>
    <w:qFormat/>
    <w:uiPriority w:val="99"/>
    <w:rPr>
      <w:sz w:val="0"/>
      <w:szCs w:val="0"/>
    </w:rPr>
  </w:style>
  <w:style w:type="character" w:customStyle="1" w:styleId="22">
    <w:name w:val="文档结构图 字符"/>
    <w:link w:val="5"/>
    <w:semiHidden/>
    <w:locked/>
    <w:uiPriority w:val="99"/>
    <w:rPr>
      <w:rFonts w:ascii="宋体" w:cs="Times New Roman"/>
      <w:kern w:val="2"/>
      <w:sz w:val="18"/>
      <w:szCs w:val="18"/>
    </w:rPr>
  </w:style>
  <w:style w:type="character" w:customStyle="1" w:styleId="23">
    <w:name w:val="页脚 字符"/>
    <w:link w:val="9"/>
    <w:qFormat/>
    <w:locked/>
    <w:uiPriority w:val="99"/>
    <w:rPr>
      <w:rFonts w:cs="Times New Roman"/>
      <w:kern w:val="2"/>
      <w:sz w:val="18"/>
    </w:rPr>
  </w:style>
  <w:style w:type="character" w:customStyle="1" w:styleId="24">
    <w:name w:val="批注文字 字符"/>
    <w:link w:val="6"/>
    <w:semiHidden/>
    <w:qFormat/>
    <w:uiPriority w:val="99"/>
    <w:rPr>
      <w:kern w:val="2"/>
      <w:sz w:val="21"/>
    </w:rPr>
  </w:style>
  <w:style w:type="character" w:customStyle="1" w:styleId="25">
    <w:name w:val="批注主题 字符"/>
    <w:link w:val="11"/>
    <w:semiHidden/>
    <w:qFormat/>
    <w:uiPriority w:val="99"/>
    <w:rPr>
      <w:b/>
      <w:bCs/>
      <w:kern w:val="2"/>
      <w:sz w:val="21"/>
    </w:rPr>
  </w:style>
  <w:style w:type="character" w:customStyle="1" w:styleId="26">
    <w:name w:val="批注框文本 字符"/>
    <w:link w:val="8"/>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511</Words>
  <Characters>2919</Characters>
  <Lines>24</Lines>
  <Paragraphs>6</Paragraphs>
  <TotalTime>0</TotalTime>
  <ScaleCrop>false</ScaleCrop>
  <LinksUpToDate>false</LinksUpToDate>
  <CharactersWithSpaces>3424</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2018-07-05T03:07:00Z</dcterms:created>
  <dc:creator>设备部-4号机</dc:creator>
  <cp:lastModifiedBy>LHH</cp:lastModifiedBy>
  <cp:lastPrinted>2016-07-28T05:22:00Z</cp:lastPrinted>
  <dcterms:modified xsi:type="dcterms:W3CDTF">2019-06-21T00:31:56Z</dcterms:modified>
  <dc:title>突发环境事件应急预案</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